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4-e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R1-2100096</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eastAsia="宋体" w:cs="Arial"/>
          <w:bCs/>
          <w:sz w:val="22"/>
          <w:szCs w:val="22"/>
          <w:lang w:val="en-US" w:eastAsia="zh-CN"/>
        </w:rPr>
        <w:t>January</w:t>
      </w:r>
      <w:r>
        <w:rPr>
          <w:rFonts w:eastAsia="Times New Roman" w:cs="Arial"/>
          <w:bCs/>
          <w:sz w:val="22"/>
          <w:szCs w:val="22"/>
          <w:lang w:eastAsia="ja-JP"/>
        </w:rPr>
        <w:t xml:space="preserve"> </w:t>
      </w:r>
      <w:r>
        <w:rPr>
          <w:rFonts w:hint="eastAsia" w:eastAsia="宋体" w:cs="Arial"/>
          <w:bCs/>
          <w:sz w:val="22"/>
          <w:szCs w:val="22"/>
          <w:lang w:val="en-US" w:eastAsia="zh-CN"/>
        </w:rPr>
        <w:t>25</w:t>
      </w:r>
      <w:r>
        <w:rPr>
          <w:rFonts w:eastAsia="Times New Roman" w:cs="Arial"/>
          <w:bCs/>
          <w:sz w:val="22"/>
          <w:szCs w:val="22"/>
          <w:vertAlign w:val="superscript"/>
          <w:lang w:eastAsia="ja-JP"/>
        </w:rPr>
        <w:t>th</w:t>
      </w:r>
      <w:r>
        <w:rPr>
          <w:rFonts w:eastAsia="Times New Roman" w:cs="Arial"/>
          <w:bCs/>
          <w:sz w:val="22"/>
          <w:szCs w:val="22"/>
          <w:lang w:eastAsia="ja-JP"/>
        </w:rPr>
        <w:t xml:space="preserve"> – </w:t>
      </w:r>
      <w:r>
        <w:rPr>
          <w:rFonts w:hint="eastAsia" w:eastAsia="宋体" w:cs="Arial"/>
          <w:bCs/>
          <w:sz w:val="22"/>
          <w:szCs w:val="22"/>
          <w:lang w:val="en-US" w:eastAsia="zh-CN"/>
        </w:rPr>
        <w:t>February</w:t>
      </w:r>
      <w:r>
        <w:rPr>
          <w:rFonts w:eastAsia="Times New Roman" w:cs="Arial"/>
          <w:bCs/>
          <w:sz w:val="22"/>
          <w:szCs w:val="22"/>
          <w:lang w:eastAsia="ja-JP"/>
        </w:rPr>
        <w:t xml:space="preserve"> </w:t>
      </w:r>
      <w:r>
        <w:rPr>
          <w:rFonts w:hint="eastAsia" w:eastAsia="宋体" w:cs="Arial"/>
          <w:bCs/>
          <w:sz w:val="22"/>
          <w:szCs w:val="22"/>
          <w:lang w:val="en-US" w:eastAsia="zh-CN"/>
        </w:rPr>
        <w:t>5</w:t>
      </w:r>
      <w:r>
        <w:rPr>
          <w:rFonts w:eastAsia="Times New Roman" w:cs="Arial"/>
          <w:bCs/>
          <w:sz w:val="22"/>
          <w:szCs w:val="22"/>
          <w:vertAlign w:val="superscript"/>
          <w:lang w:eastAsia="ja-JP"/>
        </w:rPr>
        <w:t>th</w:t>
      </w:r>
      <w:r>
        <w:rPr>
          <w:rFonts w:eastAsia="Times New Roman" w:cs="Arial"/>
          <w:bCs/>
          <w:sz w:val="22"/>
          <w:szCs w:val="22"/>
          <w:lang w:eastAsia="ja-JP"/>
        </w:rPr>
        <w:t>, 202</w:t>
      </w:r>
      <w:r>
        <w:rPr>
          <w:rFonts w:hint="eastAsia" w:eastAsia="宋体" w:cs="Arial"/>
          <w:bCs/>
          <w:sz w:val="22"/>
          <w:szCs w:val="22"/>
          <w:lang w:val="en-US" w:eastAsia="zh-CN"/>
        </w:rPr>
        <w:t>1</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9"/>
      <w:r>
        <w:rPr>
          <w:rFonts w:hint="eastAsia" w:ascii="Arial" w:hAnsi="Arial"/>
          <w:b/>
          <w:sz w:val="21"/>
          <w:szCs w:val="22"/>
          <w:lang w:eastAsia="zh-CN"/>
        </w:rPr>
        <w:t>Discussion on</w:t>
      </w:r>
      <w:r>
        <w:rPr>
          <w:rFonts w:hint="eastAsia" w:ascii="Arial" w:hAnsi="Arial"/>
          <w:b/>
          <w:sz w:val="21"/>
          <w:szCs w:val="22"/>
          <w:lang w:val="en-US" w:eastAsia="zh-CN"/>
        </w:rPr>
        <w:t xml:space="preserve"> TB processing over multi-slot PUSCH</w:t>
      </w:r>
      <w:bookmarkEnd w:id="1"/>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1.2</w:t>
      </w:r>
    </w:p>
    <w:p>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pPr>
        <w:pStyle w:val="2"/>
        <w:textAlignment w:val="auto"/>
      </w:pPr>
      <w:bookmarkStart w:id="3" w:name="_Ref4817"/>
      <w:r>
        <w:t>Introduction</w:t>
      </w:r>
      <w:bookmarkEnd w:id="0"/>
      <w:bookmarkEnd w:id="3"/>
    </w:p>
    <w:p>
      <w:pPr>
        <w:bidi w:val="0"/>
        <w:rPr>
          <w:rFonts w:hint="eastAsia"/>
          <w:lang w:val="en-US" w:eastAsia="zh-CN"/>
        </w:rPr>
      </w:pPr>
      <w:r>
        <w:rPr>
          <w:rFonts w:hint="eastAsia"/>
          <w:lang w:val="en-US" w:eastAsia="zh-CN"/>
        </w:rPr>
        <w:t>In RAN#90-e, a n</w:t>
      </w:r>
      <w:r>
        <w:rPr>
          <w:lang w:eastAsia="zh-CN"/>
        </w:rPr>
        <w:t>ew WID on NR coverage enhancements</w:t>
      </w:r>
      <w:r>
        <w:rPr>
          <w:rFonts w:hint="eastAsia"/>
          <w:lang w:val="en-US" w:eastAsia="zh-CN"/>
        </w:rPr>
        <w:t xml:space="preserve"> was approved [1]. O</w:t>
      </w:r>
      <w:r>
        <w:rPr>
          <w:rFonts w:hint="eastAsia"/>
          <w:bCs/>
          <w:lang w:val="en-US" w:eastAsia="zh-CN"/>
        </w:rPr>
        <w:t xml:space="preserve">ne </w:t>
      </w:r>
      <w:r>
        <w:rPr>
          <w:bCs/>
        </w:rPr>
        <w:t xml:space="preserve">objective is to </w:t>
      </w:r>
      <w:r>
        <w:rPr>
          <w:rFonts w:hint="eastAsia"/>
          <w:bCs/>
          <w:lang w:val="en-US" w:eastAsia="zh-CN"/>
        </w:rPr>
        <w:t>s</w:t>
      </w:r>
      <w:r>
        <w:t>pecify mechanism(s) to support TB processing over multi-slot PUSCH</w:t>
      </w:r>
      <w:r>
        <w:rPr>
          <w:rFonts w:hint="eastAsia"/>
          <w:lang w:val="en-US" w:eastAsia="zh-CN"/>
        </w:rPr>
        <w:t xml:space="preserv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9"/>
              </w:numPr>
              <w:tabs>
                <w:tab w:val="left" w:pos="1440"/>
              </w:tabs>
              <w:overflowPunct/>
              <w:autoSpaceDE/>
              <w:autoSpaceDN/>
              <w:adjustRightInd w:val="0"/>
              <w:spacing w:before="120" w:after="120" w:line="240" w:lineRule="auto"/>
              <w:ind w:left="0" w:firstLine="360"/>
              <w:jc w:val="left"/>
              <w:textAlignment w:val="auto"/>
            </w:pPr>
            <w:r>
              <w:t>Specify mechanism(s) to support TB processing over multi-slot PUSCH [RAN1]</w:t>
            </w:r>
          </w:p>
          <w:p>
            <w:pPr>
              <w:numPr>
                <w:ilvl w:val="1"/>
                <w:numId w:val="9"/>
              </w:numPr>
              <w:tabs>
                <w:tab w:val="left" w:pos="720"/>
              </w:tabs>
              <w:overflowPunct/>
              <w:autoSpaceDE/>
              <w:autoSpaceDN/>
              <w:bidi w:val="0"/>
              <w:spacing w:before="120" w:line="280" w:lineRule="atLeast"/>
              <w:ind w:left="1440" w:hanging="360"/>
              <w:jc w:val="left"/>
              <w:textAlignment w:val="auto"/>
              <w:rPr>
                <w:rFonts w:hint="eastAsia"/>
                <w:vertAlign w:val="baseline"/>
                <w:lang w:val="en-US" w:eastAsia="zh-CN"/>
              </w:rPr>
            </w:pPr>
            <w:r>
              <w:t>TBS determined based on multiple slots and transmitted over multiple slots.</w:t>
            </w:r>
          </w:p>
        </w:tc>
      </w:tr>
    </w:tbl>
    <w:p>
      <w:pPr>
        <w:bidi w:val="0"/>
        <w:rPr>
          <w:rFonts w:hint="eastAsia"/>
          <w:lang w:val="en-US" w:eastAsia="zh-CN"/>
        </w:rPr>
      </w:pPr>
    </w:p>
    <w:p>
      <w:pPr>
        <w:rPr>
          <w:rFonts w:hint="eastAsia"/>
          <w:highlight w:val="none"/>
          <w:lang w:val="en-US" w:eastAsia="zh-CN"/>
        </w:rPr>
      </w:pPr>
      <w:r>
        <w:rPr>
          <w:rFonts w:hint="eastAsia"/>
          <w:highlight w:val="none"/>
          <w:lang w:eastAsia="zh-CN"/>
        </w:rPr>
        <w:t xml:space="preserve">In this contribution, we </w:t>
      </w:r>
      <w:r>
        <w:rPr>
          <w:rFonts w:hint="eastAsia"/>
          <w:highlight w:val="none"/>
          <w:lang w:val="en-US" w:eastAsia="zh-CN"/>
        </w:rPr>
        <w:t>provide our views on corresponding enhancements based on the following output achieved in SI phase [2].</w:t>
      </w:r>
    </w:p>
    <w:tbl>
      <w:tblPr>
        <w:tblStyle w:val="51"/>
        <w:tblW w:w="0" w:type="auto"/>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6" w:type="dxa"/>
          </w:tcPr>
          <w:p>
            <w:pPr>
              <w:numPr>
                <w:ilvl w:val="-1"/>
                <w:numId w:val="0"/>
              </w:numPr>
              <w:overflowPunct/>
              <w:autoSpaceDE/>
              <w:autoSpaceDN/>
              <w:adjustRightInd/>
              <w:spacing w:before="0" w:after="0" w:line="240" w:lineRule="auto"/>
              <w:ind w:left="0" w:leftChars="0" w:firstLine="0" w:firstLineChars="0"/>
              <w:jc w:val="left"/>
              <w:textAlignment w:val="auto"/>
              <w:rPr>
                <w:rFonts w:hint="default"/>
                <w:highlight w:val="none"/>
                <w:vertAlign w:val="baseline"/>
                <w:lang w:val="en-US" w:eastAsia="zh-CN"/>
              </w:rPr>
            </w:pPr>
            <w:r>
              <w:t>TB processing over multi-slot PUSCH was studied from several aspects, including TBS determined based on single slot and transmitted in parts over multiple slots, TBS determined based on multiple slots and transmitted over multiple slots. Potential specification impacts of TB processing over multi-slot PUSCH include: TDRA (Time-Domain Resource Allocation), TBS determination, RV determination. Note that power consistency, phase continuity and enhancements for DM-RS configurations may or may not be required depending on factors such as cross-slot channel estimation, etc.</w:t>
            </w:r>
          </w:p>
        </w:tc>
      </w:tr>
    </w:tbl>
    <w:p>
      <w:pPr>
        <w:bidi w:val="0"/>
        <w:rPr>
          <w:rFonts w:hint="default"/>
          <w:lang w:val="en-US" w:eastAsia="zh-CN"/>
        </w:rPr>
      </w:pPr>
    </w:p>
    <w:p>
      <w:pPr>
        <w:pStyle w:val="2"/>
        <w:rPr>
          <w:rFonts w:hint="eastAsia"/>
          <w:lang w:val="en-US" w:eastAsia="zh-CN"/>
        </w:rPr>
      </w:pPr>
      <w:r>
        <w:rPr>
          <w:rFonts w:hint="eastAsia"/>
          <w:lang w:val="en-US" w:eastAsia="zh-CN"/>
        </w:rPr>
        <w:t xml:space="preserve">TB processing over multi-slot PUSCH </w:t>
      </w:r>
    </w:p>
    <w:p>
      <w:pPr>
        <w:pStyle w:val="3"/>
        <w:bidi w:val="0"/>
        <w:rPr>
          <w:lang w:eastAsia="zh-CN"/>
        </w:rPr>
      </w:pPr>
      <w:r>
        <w:rPr>
          <w:rFonts w:hint="eastAsia"/>
          <w:lang w:val="en-US" w:eastAsia="zh-CN"/>
        </w:rPr>
        <w:t>Time domain resource determination</w:t>
      </w:r>
    </w:p>
    <w:p>
      <w:pPr>
        <w:numPr>
          <w:ilvl w:val="0"/>
          <w:numId w:val="10"/>
        </w:numPr>
        <w:ind w:left="420" w:hanging="420"/>
        <w:rPr>
          <w:rFonts w:hint="eastAsia"/>
          <w:b/>
          <w:bCs/>
          <w:lang w:val="en-US" w:eastAsia="zh-CN"/>
        </w:rPr>
      </w:pPr>
      <w:r>
        <w:rPr>
          <w:rFonts w:hint="eastAsia"/>
          <w:b/>
          <w:bCs/>
          <w:lang w:val="en-US" w:eastAsia="zh-CN"/>
        </w:rPr>
        <w:t>Transmission pattern in the time domain</w:t>
      </w:r>
    </w:p>
    <w:p>
      <w:pPr>
        <w:rPr>
          <w:rFonts w:hint="default" w:cs="Times New Roman"/>
          <w:sz w:val="20"/>
          <w:szCs w:val="20"/>
          <w:lang w:val="en-US" w:eastAsia="zh-CN"/>
        </w:rPr>
      </w:pPr>
      <w:r>
        <w:rPr>
          <w:rFonts w:hint="eastAsia"/>
          <w:lang w:val="en-US" w:eastAsia="zh-CN"/>
        </w:rPr>
        <w:t xml:space="preserve">In Rel-15/16, for PUSCH type A repetition, </w:t>
      </w:r>
      <w:r>
        <w:rPr>
          <w:rFonts w:hint="default" w:ascii="Times New Roman" w:hAnsi="Times New Roman" w:cs="Times New Roman"/>
          <w:sz w:val="20"/>
          <w:szCs w:val="20"/>
          <w:lang w:val="en-US"/>
        </w:rPr>
        <w:t xml:space="preserve">the UE shall repeat the TB across the </w:t>
      </w:r>
      <w:r>
        <w:rPr>
          <w:rFonts w:hint="default" w:ascii="Times New Roman" w:hAnsi="Times New Roman" w:cs="Times New Roman"/>
          <w:i/>
          <w:iCs/>
          <w:sz w:val="20"/>
          <w:szCs w:val="20"/>
          <w:lang w:val="en-US"/>
        </w:rPr>
        <w:t>K</w:t>
      </w:r>
      <w:r>
        <w:rPr>
          <w:rFonts w:hint="default" w:ascii="Times New Roman" w:hAnsi="Times New Roman" w:cs="Times New Roman"/>
          <w:sz w:val="20"/>
          <w:szCs w:val="20"/>
          <w:lang w:val="en-US"/>
        </w:rPr>
        <w:t xml:space="preserve"> consecutive slots applying the same symbol allocation in each slot</w:t>
      </w:r>
      <w:r>
        <w:rPr>
          <w:rFonts w:hint="default" w:ascii="Times New Roman" w:hAnsi="Times New Roman" w:cs="Times New Roman"/>
          <w:sz w:val="20"/>
          <w:szCs w:val="20"/>
          <w:lang w:val="en-US" w:eastAsia="zh-CN"/>
        </w:rPr>
        <w:t xml:space="preserve"> when the number of repetitions K</w:t>
      </w:r>
      <w:r>
        <w:rPr>
          <w:rFonts w:hint="eastAsia" w:cs="Times New Roman"/>
          <w:sz w:val="20"/>
          <w:szCs w:val="20"/>
          <w:lang w:val="en-US" w:eastAsia="zh-CN"/>
        </w:rPr>
        <w:t xml:space="preserve"> is larger than </w:t>
      </w:r>
      <w:r>
        <w:rPr>
          <w:rFonts w:hint="default" w:ascii="Times New Roman" w:hAnsi="Times New Roman" w:cs="Times New Roman"/>
          <w:sz w:val="20"/>
          <w:szCs w:val="20"/>
          <w:lang w:val="en-US" w:eastAsia="zh-CN"/>
        </w:rPr>
        <w:t>1</w:t>
      </w:r>
      <w:r>
        <w:rPr>
          <w:rFonts w:hint="eastAsia" w:cs="Times New Roman"/>
          <w:sz w:val="20"/>
          <w:szCs w:val="20"/>
          <w:lang w:val="en-US" w:eastAsia="zh-CN"/>
        </w:rPr>
        <w:t>. It would be further enhanced by the number of slots counted by the available UL slots in this WI. If collision happens in one slot due to DL/UL interaction, the repetition in this slot</w:t>
      </w:r>
      <w:r>
        <w:rPr>
          <w:color w:val="000000"/>
        </w:rPr>
        <w:t xml:space="preserve"> is omitted</w:t>
      </w:r>
      <w:r>
        <w:rPr>
          <w:rFonts w:hint="eastAsia"/>
          <w:color w:val="000000"/>
          <w:lang w:val="en-US" w:eastAsia="zh-CN"/>
        </w:rPr>
        <w:t xml:space="preserve">. </w:t>
      </w:r>
      <w:r>
        <w:rPr>
          <w:rFonts w:hint="eastAsia" w:cs="Times New Roman"/>
          <w:sz w:val="20"/>
          <w:szCs w:val="20"/>
          <w:lang w:val="en-US" w:eastAsia="zh-CN"/>
        </w:rPr>
        <w:t xml:space="preserve">For repetition type B, the nominal repetition is back-to-back transmitted while one nominal repetition could be segmented to multiple actual transmissions if the nominal repetition across slot boundary or colliding with invalid symbols. Then, one question is </w:t>
      </w:r>
      <w:r>
        <w:rPr>
          <w:rFonts w:hint="default" w:cs="Times New Roman"/>
          <w:sz w:val="20"/>
          <w:szCs w:val="20"/>
          <w:lang w:val="en-US" w:eastAsia="zh-CN"/>
        </w:rPr>
        <w:t>‘</w:t>
      </w:r>
      <w:r>
        <w:rPr>
          <w:rFonts w:hint="eastAsia" w:cs="Times New Roman"/>
          <w:sz w:val="20"/>
          <w:szCs w:val="20"/>
          <w:lang w:val="en-US" w:eastAsia="zh-CN"/>
        </w:rPr>
        <w:t>whether the transmission pattern in the time domain should follow that of defined for PUSCH repetition type A or type B or both?</w:t>
      </w:r>
      <w:r>
        <w:rPr>
          <w:rFonts w:hint="default" w:cs="Times New Roman"/>
          <w:sz w:val="20"/>
          <w:szCs w:val="20"/>
          <w:lang w:val="en-US" w:eastAsia="zh-CN"/>
        </w:rPr>
        <w:t>’</w:t>
      </w:r>
      <w:r>
        <w:rPr>
          <w:rFonts w:hint="eastAsia" w:cs="Times New Roman"/>
          <w:sz w:val="20"/>
          <w:szCs w:val="20"/>
          <w:lang w:val="en-US" w:eastAsia="zh-CN"/>
        </w:rPr>
        <w:t xml:space="preserve">. </w:t>
      </w:r>
    </w:p>
    <w:p>
      <w:pPr>
        <w:rPr>
          <w:rFonts w:hint="eastAsia" w:cs="Times New Roman"/>
          <w:sz w:val="20"/>
          <w:szCs w:val="20"/>
          <w:lang w:val="en-US" w:eastAsia="zh-CN"/>
        </w:rPr>
      </w:pPr>
      <w:r>
        <w:rPr>
          <w:rFonts w:hint="eastAsia" w:cs="Times New Roman"/>
          <w:sz w:val="20"/>
          <w:szCs w:val="20"/>
          <w:lang w:val="en-US" w:eastAsia="zh-CN"/>
        </w:rPr>
        <w:t>In our view, PUSCH repetition type B is mainly for low latency by allowing back-to-back transmissions in one slot. For coverage enhancement, PUSCH repetition type A is sufficient. Thus, the transmission pattern in the time domain for PUSCH repetition type A could be a starting point for the time domain resource determination of TB processing over multiple slots.</w:t>
      </w:r>
    </w:p>
    <w:p>
      <w:pPr>
        <w:rPr>
          <w:rFonts w:hint="eastAsia"/>
          <w:i/>
          <w:iCs/>
          <w:lang w:val="en-US" w:eastAsia="zh-CN"/>
        </w:rPr>
      </w:pPr>
      <w:r>
        <w:rPr>
          <w:rFonts w:hint="eastAsia"/>
          <w:b/>
          <w:bCs/>
          <w:i/>
          <w:iCs/>
          <w:lang w:val="en-US" w:eastAsia="zh-CN"/>
        </w:rPr>
        <w:t xml:space="preserve">Proposal 1: </w:t>
      </w:r>
      <w:r>
        <w:rPr>
          <w:rFonts w:hint="eastAsia"/>
          <w:b w:val="0"/>
          <w:bCs w:val="0"/>
          <w:i/>
          <w:iCs/>
          <w:lang w:val="en-US" w:eastAsia="zh-CN"/>
        </w:rPr>
        <w:t xml:space="preserve">For </w:t>
      </w:r>
      <w:r>
        <w:rPr>
          <w:rFonts w:hint="eastAsia"/>
          <w:i/>
          <w:iCs/>
          <w:lang w:val="en-US" w:eastAsia="zh-CN"/>
        </w:rPr>
        <w:t xml:space="preserve">time domain resource determination of </w:t>
      </w:r>
      <w:r>
        <w:rPr>
          <w:rFonts w:hint="eastAsia" w:cs="Times New Roman"/>
          <w:i/>
          <w:iCs/>
          <w:sz w:val="20"/>
          <w:szCs w:val="20"/>
          <w:lang w:val="en-US" w:eastAsia="zh-CN"/>
        </w:rPr>
        <w:t>TB processing over multiple slots,</w:t>
      </w:r>
      <w:r>
        <w:rPr>
          <w:rFonts w:hint="eastAsia"/>
          <w:i/>
          <w:iCs/>
          <w:lang w:val="en-US" w:eastAsia="zh-CN"/>
        </w:rPr>
        <w:t xml:space="preserve"> legacy rules specified for </w:t>
      </w:r>
      <w:r>
        <w:rPr>
          <w:rFonts w:hint="eastAsia" w:cs="Times New Roman"/>
          <w:i/>
          <w:iCs/>
          <w:sz w:val="20"/>
          <w:szCs w:val="20"/>
          <w:lang w:val="en-US" w:eastAsia="zh-CN"/>
        </w:rPr>
        <w:t>PUSCH repetition type A could be a starting point</w:t>
      </w:r>
      <w:r>
        <w:rPr>
          <w:rFonts w:hint="eastAsia"/>
          <w:i/>
          <w:iCs/>
          <w:lang w:val="en-US" w:eastAsia="zh-CN"/>
        </w:rPr>
        <w:t xml:space="preserve">. </w:t>
      </w:r>
    </w:p>
    <w:p>
      <w:pPr>
        <w:rPr>
          <w:rFonts w:hint="default"/>
          <w:i w:val="0"/>
          <w:iCs w:val="0"/>
          <w:lang w:val="en-US" w:eastAsia="zh-CN"/>
        </w:rPr>
      </w:pPr>
      <w:r>
        <w:rPr>
          <w:rFonts w:hint="eastAsia"/>
          <w:i w:val="0"/>
          <w:iCs w:val="0"/>
          <w:lang w:val="en-US" w:eastAsia="zh-CN"/>
        </w:rPr>
        <w:t xml:space="preserve">Based on Proposal 1, more detailed analysis is provided for time domain resource determination for TB processing over multiple slots in the following. </w:t>
      </w:r>
    </w:p>
    <w:p>
      <w:pPr>
        <w:numPr>
          <w:ilvl w:val="0"/>
          <w:numId w:val="10"/>
        </w:numPr>
        <w:ind w:left="420" w:hanging="420"/>
        <w:rPr>
          <w:rFonts w:hint="eastAsia"/>
          <w:b/>
          <w:bCs/>
          <w:iCs/>
          <w:position w:val="-6"/>
          <w:lang w:val="en-US" w:eastAsia="zh-CN"/>
        </w:rPr>
      </w:pPr>
      <w:r>
        <w:rPr>
          <w:rFonts w:hint="eastAsia"/>
          <w:b/>
          <w:bCs/>
          <w:iCs/>
          <w:position w:val="-6"/>
          <w:lang w:val="en-US" w:eastAsia="zh-CN"/>
        </w:rPr>
        <w:t>Indication of the number of slots for TB processing over multiple slots</w:t>
      </w:r>
    </w:p>
    <w:p>
      <w:pPr>
        <w:rPr>
          <w:rFonts w:hint="default"/>
          <w:lang w:val="en-US" w:eastAsia="zh-CN"/>
        </w:rPr>
      </w:pPr>
      <w:r>
        <w:rPr>
          <w:rFonts w:hint="eastAsia"/>
          <w:lang w:val="en-US" w:eastAsia="zh-CN"/>
        </w:rPr>
        <w:t xml:space="preserve">In Rel-16, dynamic repetition indication is supported for both repetition type A and repetition type B. An additional column is added in TDRA table to indicate the number of repetitions, and the time resource allocation field in DCI (for DG or type 2 CG) or by RRC (for type 1 CG) is used to indicate one row of the TDRA table. Similar rule could be used for dynamic indication of the number of slots for TB processing over multiple slots. As a result, we have the following proposal. </w:t>
      </w:r>
    </w:p>
    <w:p>
      <w:pPr>
        <w:rPr>
          <w:rFonts w:hint="eastAsia"/>
          <w:b/>
          <w:bCs/>
          <w:i/>
          <w:iCs w:val="0"/>
          <w:position w:val="-6"/>
          <w:lang w:val="en-US" w:eastAsia="zh-CN"/>
        </w:rPr>
      </w:pPr>
      <w:r>
        <w:rPr>
          <w:rFonts w:hint="eastAsia"/>
          <w:b/>
          <w:bCs/>
          <w:i/>
          <w:iCs w:val="0"/>
          <w:position w:val="-6"/>
          <w:lang w:val="en-US" w:eastAsia="zh-CN"/>
        </w:rPr>
        <w:t xml:space="preserve">Proposal 2: </w:t>
      </w:r>
      <w:r>
        <w:rPr>
          <w:rFonts w:hint="eastAsia"/>
          <w:b w:val="0"/>
          <w:bCs w:val="0"/>
          <w:i/>
          <w:iCs w:val="0"/>
          <w:position w:val="-6"/>
          <w:lang w:val="en-US" w:eastAsia="zh-CN"/>
        </w:rPr>
        <w:t xml:space="preserve">For TB processing over multiple slots, the number of slots is jointly coded with the TDRA table. </w:t>
      </w:r>
    </w:p>
    <w:p>
      <w:pPr>
        <w:numPr>
          <w:ilvl w:val="0"/>
          <w:numId w:val="10"/>
        </w:numPr>
        <w:ind w:left="420" w:hanging="420"/>
        <w:rPr>
          <w:rFonts w:hint="eastAsia"/>
          <w:b/>
          <w:bCs/>
          <w:iCs/>
          <w:position w:val="-6"/>
          <w:lang w:val="en-US" w:eastAsia="zh-CN"/>
        </w:rPr>
      </w:pPr>
      <w:r>
        <w:rPr>
          <w:rFonts w:hint="eastAsia"/>
          <w:b/>
          <w:bCs/>
          <w:iCs/>
          <w:position w:val="-6"/>
          <w:lang w:val="en-US" w:eastAsia="zh-CN"/>
        </w:rPr>
        <w:t>Collision handling due to DL/UL interaction</w:t>
      </w:r>
    </w:p>
    <w:p>
      <w:pPr>
        <w:rPr>
          <w:rFonts w:hint="default"/>
          <w:b w:val="0"/>
          <w:bCs w:val="0"/>
          <w:i w:val="0"/>
          <w:iCs/>
          <w:position w:val="-6"/>
          <w:lang w:val="en-US" w:eastAsia="zh-CN"/>
        </w:rPr>
      </w:pPr>
      <w:r>
        <w:rPr>
          <w:rFonts w:hint="eastAsia"/>
          <w:b w:val="0"/>
          <w:bCs w:val="0"/>
          <w:i w:val="0"/>
          <w:iCs/>
          <w:position w:val="-6"/>
          <w:lang w:val="en-US" w:eastAsia="zh-CN"/>
        </w:rPr>
        <w:t xml:space="preserve">The Rel-15 collision handling rules are summarized as follows according to [3]. From our perspective, the legacy rules could be reused by replacing a repetition to a slot of the multiple slots for TB processing. New collision handling rules can be considered only if strong motivation is identified.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sz w:val="20"/>
                <w:szCs w:val="20"/>
                <w:u w:val="single"/>
                <w:lang w:val="en-US"/>
              </w:rPr>
            </w:pPr>
            <w:r>
              <w:rPr>
                <w:b/>
                <w:sz w:val="20"/>
                <w:szCs w:val="20"/>
                <w:u w:val="single"/>
                <w:lang w:val="en-US"/>
              </w:rPr>
              <w:t>Summary of Rel-15 behavior</w:t>
            </w:r>
          </w:p>
          <w:p>
            <w:pPr>
              <w:pStyle w:val="114"/>
              <w:numPr>
                <w:ilvl w:val="0"/>
                <w:numId w:val="11"/>
              </w:numPr>
              <w:spacing w:before="120" w:line="280" w:lineRule="atLeast"/>
              <w:rPr>
                <w:sz w:val="20"/>
                <w:szCs w:val="20"/>
                <w:lang w:val="en-US"/>
              </w:rPr>
            </w:pPr>
            <w:r>
              <w:rPr>
                <w:sz w:val="20"/>
                <w:szCs w:val="20"/>
                <w:lang w:val="en-US"/>
              </w:rPr>
              <w:t>For DG PUSCH and the first PUSCH after Type 2 CG activation DCI</w:t>
            </w:r>
          </w:p>
          <w:p>
            <w:pPr>
              <w:pStyle w:val="114"/>
              <w:numPr>
                <w:ilvl w:val="1"/>
                <w:numId w:val="11"/>
              </w:numPr>
              <w:spacing w:before="120" w:line="280" w:lineRule="atLeast"/>
              <w:rPr>
                <w:sz w:val="20"/>
                <w:szCs w:val="20"/>
                <w:lang w:val="en-US"/>
              </w:rPr>
            </w:pPr>
            <w:r>
              <w:rPr>
                <w:sz w:val="20"/>
                <w:szCs w:val="20"/>
                <w:lang w:val="en-US"/>
              </w:rPr>
              <w:t xml:space="preserve">Regardless of whether dynamic SFI is configured or not, </w:t>
            </w:r>
          </w:p>
          <w:p>
            <w:pPr>
              <w:pStyle w:val="114"/>
              <w:numPr>
                <w:ilvl w:val="2"/>
                <w:numId w:val="11"/>
              </w:numPr>
              <w:spacing w:before="120" w:line="280" w:lineRule="atLeast"/>
              <w:rPr>
                <w:sz w:val="20"/>
                <w:szCs w:val="20"/>
                <w:lang w:val="en-US"/>
              </w:rPr>
            </w:pPr>
            <w:r>
              <w:rPr>
                <w:sz w:val="20"/>
                <w:szCs w:val="20"/>
                <w:lang w:val="en-US"/>
              </w:rPr>
              <w:t>The case without repetition: no conflict with semi-static DL symbol is expected.</w:t>
            </w:r>
          </w:p>
          <w:p>
            <w:pPr>
              <w:pStyle w:val="114"/>
              <w:numPr>
                <w:ilvl w:val="2"/>
                <w:numId w:val="11"/>
              </w:numPr>
              <w:spacing w:before="120" w:line="280" w:lineRule="atLeast"/>
              <w:rPr>
                <w:sz w:val="20"/>
                <w:szCs w:val="20"/>
                <w:lang w:val="en-US"/>
              </w:rPr>
            </w:pPr>
            <w:r>
              <w:rPr>
                <w:sz w:val="20"/>
                <w:szCs w:val="20"/>
                <w:lang w:val="en-US"/>
              </w:rPr>
              <w:t>The case with repetitions: if a repetition conflicts with a semi-static DL symbol, the repetition is not transmitted.</w:t>
            </w:r>
          </w:p>
          <w:p>
            <w:pPr>
              <w:pStyle w:val="114"/>
              <w:numPr>
                <w:ilvl w:val="1"/>
                <w:numId w:val="11"/>
              </w:numPr>
              <w:spacing w:before="120" w:line="280" w:lineRule="atLeast"/>
              <w:rPr>
                <w:sz w:val="20"/>
                <w:szCs w:val="20"/>
                <w:lang w:val="en-US"/>
              </w:rPr>
            </w:pPr>
            <w:r>
              <w:rPr>
                <w:sz w:val="20"/>
                <w:szCs w:val="20"/>
                <w:lang w:val="en-US"/>
              </w:rPr>
              <w:t>If dynamic SFI is configured,</w:t>
            </w:r>
          </w:p>
          <w:p>
            <w:pPr>
              <w:pStyle w:val="114"/>
              <w:numPr>
                <w:ilvl w:val="2"/>
                <w:numId w:val="11"/>
              </w:numPr>
              <w:spacing w:before="120" w:line="280" w:lineRule="atLeast"/>
              <w:rPr>
                <w:sz w:val="20"/>
                <w:szCs w:val="20"/>
                <w:lang w:val="en-US"/>
              </w:rPr>
            </w:pPr>
            <w:r>
              <w:rPr>
                <w:sz w:val="20"/>
                <w:szCs w:val="20"/>
                <w:lang w:val="en-US"/>
              </w:rPr>
              <w:t>DG</w:t>
            </w:r>
          </w:p>
          <w:p>
            <w:pPr>
              <w:pStyle w:val="114"/>
              <w:numPr>
                <w:ilvl w:val="3"/>
                <w:numId w:val="11"/>
              </w:numPr>
              <w:spacing w:before="120" w:line="280" w:lineRule="atLeast"/>
              <w:rPr>
                <w:sz w:val="20"/>
                <w:szCs w:val="20"/>
                <w:lang w:val="en-US"/>
              </w:rPr>
            </w:pPr>
            <w:r>
              <w:rPr>
                <w:sz w:val="20"/>
                <w:szCs w:val="20"/>
                <w:lang w:val="en-US"/>
              </w:rPr>
              <w:t>The case with and without repetition: follow the dynamic grant. No conflict with dynamic DL symbols is expected.</w:t>
            </w:r>
          </w:p>
          <w:p>
            <w:pPr>
              <w:pStyle w:val="114"/>
              <w:numPr>
                <w:ilvl w:val="2"/>
                <w:numId w:val="11"/>
              </w:numPr>
              <w:spacing w:before="120" w:line="280" w:lineRule="atLeast"/>
              <w:rPr>
                <w:sz w:val="20"/>
                <w:szCs w:val="20"/>
                <w:lang w:val="en-US"/>
              </w:rPr>
            </w:pPr>
            <w:r>
              <w:rPr>
                <w:sz w:val="20"/>
                <w:szCs w:val="20"/>
                <w:lang w:val="en-US"/>
              </w:rPr>
              <w:t>The first PUSCH after Type 2 CG activation DCI</w:t>
            </w:r>
          </w:p>
          <w:p>
            <w:pPr>
              <w:pStyle w:val="114"/>
              <w:numPr>
                <w:ilvl w:val="3"/>
                <w:numId w:val="11"/>
              </w:numPr>
              <w:spacing w:before="120" w:line="280" w:lineRule="atLeast"/>
              <w:rPr>
                <w:color w:val="auto"/>
                <w:sz w:val="20"/>
                <w:szCs w:val="20"/>
                <w:lang w:val="en-US"/>
              </w:rPr>
            </w:pPr>
            <w:r>
              <w:rPr>
                <w:sz w:val="20"/>
                <w:szCs w:val="20"/>
                <w:lang w:val="en-US"/>
              </w:rPr>
              <w:t>The case w</w:t>
            </w:r>
            <w:r>
              <w:rPr>
                <w:color w:val="auto"/>
                <w:sz w:val="20"/>
                <w:szCs w:val="20"/>
                <w:lang w:val="en-US"/>
              </w:rPr>
              <w:t>ith and without repetition: follow the activation DCI. No conflict with dynamic DL/flexible symbols is expected.</w:t>
            </w:r>
          </w:p>
          <w:p>
            <w:pPr>
              <w:pStyle w:val="114"/>
              <w:numPr>
                <w:ilvl w:val="0"/>
                <w:numId w:val="11"/>
              </w:numPr>
              <w:spacing w:before="120" w:line="280" w:lineRule="atLeast"/>
              <w:rPr>
                <w:color w:val="auto"/>
                <w:sz w:val="20"/>
                <w:szCs w:val="20"/>
                <w:lang w:val="en-US"/>
              </w:rPr>
            </w:pPr>
            <w:r>
              <w:rPr>
                <w:color w:val="auto"/>
                <w:sz w:val="20"/>
                <w:szCs w:val="20"/>
                <w:lang w:val="en-US"/>
              </w:rPr>
              <w:t>For CG PUSCH (other than the first PUSCH after Type 2 CG activation DCI)</w:t>
            </w:r>
          </w:p>
          <w:p>
            <w:pPr>
              <w:pStyle w:val="114"/>
              <w:numPr>
                <w:ilvl w:val="1"/>
                <w:numId w:val="11"/>
              </w:numPr>
              <w:spacing w:before="120" w:line="280" w:lineRule="atLeast"/>
              <w:rPr>
                <w:color w:val="auto"/>
                <w:sz w:val="20"/>
                <w:szCs w:val="20"/>
                <w:lang w:val="en-US"/>
              </w:rPr>
            </w:pPr>
            <w:r>
              <w:rPr>
                <w:color w:val="auto"/>
                <w:sz w:val="20"/>
                <w:szCs w:val="20"/>
                <w:lang w:val="en-US"/>
              </w:rPr>
              <w:t xml:space="preserve">If dynamic SFI is not configured, </w:t>
            </w:r>
          </w:p>
          <w:p>
            <w:pPr>
              <w:pStyle w:val="114"/>
              <w:numPr>
                <w:ilvl w:val="2"/>
                <w:numId w:val="11"/>
              </w:numPr>
              <w:spacing w:before="120" w:line="280" w:lineRule="atLeast"/>
              <w:rPr>
                <w:sz w:val="20"/>
                <w:szCs w:val="20"/>
                <w:lang w:val="en-US"/>
              </w:rPr>
            </w:pPr>
            <w:r>
              <w:rPr>
                <w:color w:val="auto"/>
                <w:sz w:val="20"/>
                <w:szCs w:val="20"/>
                <w:lang w:val="en-US"/>
              </w:rPr>
              <w:t>The case with and without repetition: if a r</w:t>
            </w:r>
            <w:r>
              <w:rPr>
                <w:sz w:val="20"/>
                <w:szCs w:val="20"/>
                <w:lang w:val="en-US"/>
              </w:rPr>
              <w:t>epetition conflicts with a semi-static DL symbol, the repetition is not transmitted.</w:t>
            </w:r>
          </w:p>
          <w:p>
            <w:pPr>
              <w:pStyle w:val="114"/>
              <w:numPr>
                <w:ilvl w:val="1"/>
                <w:numId w:val="11"/>
              </w:numPr>
              <w:spacing w:before="120" w:line="280" w:lineRule="atLeast"/>
              <w:rPr>
                <w:sz w:val="20"/>
                <w:szCs w:val="20"/>
                <w:lang w:val="en-US"/>
              </w:rPr>
            </w:pPr>
            <w:bookmarkStart w:id="4" w:name="_Hlk18017386"/>
            <w:r>
              <w:rPr>
                <w:sz w:val="20"/>
                <w:szCs w:val="20"/>
                <w:lang w:val="en-US"/>
              </w:rPr>
              <w:t>If dynamic SFI is configured and received,</w:t>
            </w:r>
          </w:p>
          <w:p>
            <w:pPr>
              <w:pStyle w:val="114"/>
              <w:numPr>
                <w:ilvl w:val="2"/>
                <w:numId w:val="11"/>
              </w:numPr>
              <w:spacing w:before="120" w:line="280" w:lineRule="atLeast"/>
              <w:rPr>
                <w:sz w:val="20"/>
                <w:szCs w:val="20"/>
                <w:lang w:val="en-US"/>
              </w:rPr>
            </w:pPr>
            <w:r>
              <w:rPr>
                <w:sz w:val="20"/>
                <w:szCs w:val="20"/>
                <w:lang w:val="en-US"/>
              </w:rPr>
              <w:t xml:space="preserve">The case with and without repetition: if a repetition conflicts with </w:t>
            </w:r>
            <w:bookmarkStart w:id="5" w:name="_Hlk18017561"/>
            <w:r>
              <w:rPr>
                <w:sz w:val="20"/>
                <w:szCs w:val="20"/>
                <w:lang w:val="en-US"/>
              </w:rPr>
              <w:t xml:space="preserve">a semi-static DL symbol or </w:t>
            </w:r>
            <w:bookmarkEnd w:id="5"/>
            <w:r>
              <w:rPr>
                <w:sz w:val="20"/>
                <w:szCs w:val="20"/>
                <w:lang w:val="en-US"/>
              </w:rPr>
              <w:t>a dynamic DL/flexible symbol, the repetition is not transmitted.</w:t>
            </w:r>
          </w:p>
          <w:bookmarkEnd w:id="4"/>
          <w:p>
            <w:pPr>
              <w:pStyle w:val="114"/>
              <w:numPr>
                <w:ilvl w:val="1"/>
                <w:numId w:val="11"/>
              </w:numPr>
              <w:spacing w:before="120" w:line="280" w:lineRule="atLeast"/>
              <w:rPr>
                <w:sz w:val="20"/>
                <w:szCs w:val="20"/>
                <w:lang w:val="en-US"/>
              </w:rPr>
            </w:pPr>
            <w:r>
              <w:rPr>
                <w:sz w:val="20"/>
                <w:szCs w:val="20"/>
                <w:lang w:val="en-US"/>
              </w:rPr>
              <w:t>If dynamic SFI is configured and not received,</w:t>
            </w:r>
          </w:p>
          <w:p>
            <w:pPr>
              <w:pStyle w:val="114"/>
              <w:numPr>
                <w:ilvl w:val="2"/>
                <w:numId w:val="11"/>
              </w:numPr>
              <w:spacing w:before="120" w:line="280" w:lineRule="atLeast"/>
              <w:rPr>
                <w:sz w:val="20"/>
                <w:szCs w:val="20"/>
                <w:lang w:val="en-US"/>
              </w:rPr>
            </w:pPr>
            <w:r>
              <w:rPr>
                <w:sz w:val="20"/>
                <w:szCs w:val="20"/>
                <w:lang w:val="en-US"/>
              </w:rPr>
              <w:t>The case with and without repetition: if a repetition conflicts with a semi-static DL/flexible symbol, the repetition is not transmitted. (there is some timeline defined.)</w:t>
            </w:r>
          </w:p>
          <w:p>
            <w:pPr>
              <w:pStyle w:val="46"/>
              <w:pBdr>
                <w:top w:val="none" w:color="auto" w:sz="0" w:space="0"/>
                <w:left w:val="none" w:color="auto" w:sz="0" w:space="0"/>
                <w:bottom w:val="none" w:color="auto" w:sz="0" w:space="0"/>
                <w:right w:val="none" w:color="auto" w:sz="0" w:space="0"/>
              </w:pBdr>
              <w:spacing w:after="144" w:line="252" w:lineRule="atLeast"/>
              <w:ind w:left="0"/>
              <w:rPr>
                <w:rFonts w:hint="eastAsia"/>
                <w:b/>
                <w:bCs/>
                <w:i/>
                <w:position w:val="-6"/>
                <w:vertAlign w:val="baseline"/>
                <w:lang w:val="en-US" w:eastAsia="zh-CN"/>
              </w:rPr>
            </w:pPr>
          </w:p>
        </w:tc>
      </w:tr>
    </w:tbl>
    <w:p>
      <w:pPr>
        <w:rPr>
          <w:rFonts w:hint="eastAsia"/>
          <w:b/>
          <w:bCs/>
          <w:i/>
          <w:position w:val="-6"/>
          <w:lang w:val="en-US" w:eastAsia="zh-CN"/>
        </w:rPr>
      </w:pPr>
    </w:p>
    <w:p>
      <w:pPr>
        <w:rPr>
          <w:rFonts w:hint="default"/>
          <w:b/>
          <w:bCs/>
          <w:i/>
          <w:position w:val="-6"/>
          <w:lang w:val="en-US" w:eastAsia="zh-CN"/>
        </w:rPr>
      </w:pPr>
      <w:r>
        <w:rPr>
          <w:rFonts w:hint="eastAsia"/>
          <w:b/>
          <w:bCs/>
          <w:i/>
          <w:iCs w:val="0"/>
          <w:position w:val="-6"/>
          <w:lang w:val="en-US" w:eastAsia="zh-CN"/>
        </w:rPr>
        <w:t xml:space="preserve">Proposal 3: </w:t>
      </w:r>
      <w:r>
        <w:rPr>
          <w:rFonts w:hint="eastAsia"/>
          <w:b w:val="0"/>
          <w:bCs w:val="0"/>
          <w:i/>
          <w:iCs w:val="0"/>
          <w:position w:val="-6"/>
          <w:lang w:val="en-US" w:eastAsia="zh-CN"/>
        </w:rPr>
        <w:t xml:space="preserve">For collision handling of TB processing over multiple slots, legacy collision handling rules for PUSCH repetition type A could be reused by replacing a repetition to a slot of the multiple slots for TB processing. </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273" w:beforeLines="100"/>
        <w:ind w:left="420" w:hanging="420"/>
        <w:textAlignment w:val="baseline"/>
        <w:rPr>
          <w:rFonts w:hint="eastAsia"/>
          <w:b/>
          <w:bCs/>
          <w:iCs/>
          <w:position w:val="-6"/>
          <w:lang w:val="en-US" w:eastAsia="zh-CN"/>
        </w:rPr>
      </w:pPr>
      <w:r>
        <w:rPr>
          <w:rFonts w:hint="eastAsia"/>
          <w:b/>
          <w:bCs/>
          <w:iCs/>
          <w:position w:val="-6"/>
          <w:lang w:val="en-US" w:eastAsia="zh-CN"/>
        </w:rPr>
        <w:t>Whether to support PUSCH repetition together with TB processing over multiple slots</w:t>
      </w:r>
    </w:p>
    <w:p>
      <w:pPr>
        <w:rPr>
          <w:rFonts w:hint="eastAsia"/>
          <w:lang w:val="en-US" w:eastAsia="zh-CN"/>
        </w:rPr>
      </w:pPr>
      <w:r>
        <w:rPr>
          <w:rFonts w:hint="eastAsia"/>
          <w:lang w:val="en-US" w:eastAsia="zh-CN"/>
        </w:rPr>
        <w:t xml:space="preserve">TB processing over multiples slots is beneficial for coverage enhancement due to using a lower coding rate or higher PSD for transmission. In LTE NB-IOT, </w:t>
      </w:r>
      <w:bookmarkStart w:id="6" w:name="OLE_LINK7"/>
      <w:r>
        <w:rPr>
          <w:rFonts w:hint="eastAsia"/>
          <w:lang w:val="en-US" w:eastAsia="zh-CN"/>
        </w:rPr>
        <w:t>TB processing is performed over a set of resource units, each of which can be repeated by several times in the time domain.</w:t>
      </w:r>
      <w:bookmarkEnd w:id="6"/>
      <w:r>
        <w:rPr>
          <w:rFonts w:hint="eastAsia"/>
          <w:lang w:val="en-US" w:eastAsia="zh-CN"/>
        </w:rPr>
        <w:t xml:space="preserve"> Similar approach could be considered in NR. However, this should be further discussed considering it may cause more specification impacts. For instance, the RV pattern and repetition pattern should be defined.  </w:t>
      </w:r>
    </w:p>
    <w:p>
      <w:pPr>
        <w:rPr>
          <w:rFonts w:hint="default"/>
          <w:b w:val="0"/>
          <w:bCs w:val="0"/>
          <w:i/>
          <w:position w:val="-6"/>
          <w:lang w:val="en-US" w:eastAsia="zh-CN"/>
        </w:rPr>
      </w:pPr>
      <w:r>
        <w:rPr>
          <w:rFonts w:hint="eastAsia"/>
          <w:b/>
          <w:bCs/>
          <w:i/>
          <w:iCs w:val="0"/>
          <w:position w:val="-6"/>
          <w:lang w:val="en-US" w:eastAsia="zh-CN"/>
        </w:rPr>
        <w:t xml:space="preserve">Proposal 4: </w:t>
      </w:r>
      <w:r>
        <w:rPr>
          <w:rFonts w:hint="eastAsia"/>
          <w:b w:val="0"/>
          <w:bCs w:val="0"/>
          <w:i/>
          <w:iCs w:val="0"/>
          <w:position w:val="-6"/>
          <w:lang w:val="en-US" w:eastAsia="zh-CN"/>
        </w:rPr>
        <w:t xml:space="preserve">Discuss whether to support PUSCH repetition together with TB processing over multiple slots. </w:t>
      </w:r>
    </w:p>
    <w:p>
      <w:pPr>
        <w:pStyle w:val="3"/>
        <w:ind w:left="576" w:hanging="576"/>
      </w:pPr>
      <w:r>
        <w:rPr>
          <w:rFonts w:hint="eastAsia"/>
          <w:lang w:val="en-US" w:eastAsia="zh-CN"/>
        </w:rPr>
        <w:t xml:space="preserve">TBS determination </w:t>
      </w:r>
    </w:p>
    <w:p>
      <w:pPr>
        <w:rPr>
          <w:rFonts w:hint="default" w:ascii="Times New Roman" w:hAnsi="Times New Roman" w:cs="Times New Roman"/>
          <w:highlight w:val="none"/>
          <w:lang w:val="en-US" w:eastAsia="zh-CN"/>
        </w:rPr>
      </w:pPr>
      <w:r>
        <w:rPr>
          <w:rFonts w:hint="eastAsia" w:cs="Times New Roman"/>
          <w:sz w:val="20"/>
          <w:szCs w:val="20"/>
          <w:lang w:val="en-US" w:eastAsia="zh-CN"/>
        </w:rPr>
        <w:t>F</w:t>
      </w:r>
      <w:r>
        <w:rPr>
          <w:rFonts w:hint="default" w:ascii="Times New Roman" w:hAnsi="Times New Roman" w:eastAsia="宋体" w:cs="Times New Roman"/>
          <w:sz w:val="20"/>
          <w:szCs w:val="20"/>
          <w:lang w:val="en-US" w:eastAsia="zh-CN"/>
        </w:rPr>
        <w:t>or TB processing over multiple slots</w:t>
      </w:r>
      <w:r>
        <w:rPr>
          <w:rFonts w:hint="eastAsia" w:cs="Times New Roman"/>
          <w:sz w:val="20"/>
          <w:szCs w:val="20"/>
          <w:lang w:val="en-US" w:eastAsia="zh-CN"/>
        </w:rPr>
        <w:t xml:space="preserve">, </w:t>
      </w:r>
      <w:r>
        <w:rPr>
          <w:rFonts w:hint="default" w:ascii="Times New Roman" w:hAnsi="Times New Roman" w:eastAsia="宋体" w:cs="Times New Roman"/>
          <w:sz w:val="20"/>
          <w:szCs w:val="20"/>
        </w:rPr>
        <w:t>TBS</w:t>
      </w:r>
      <w:r>
        <w:rPr>
          <w:rFonts w:hint="default"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rPr>
        <w:t xml:space="preserve"> determined based on multiple slots</w:t>
      </w:r>
      <w:r>
        <w:rPr>
          <w:rFonts w:hint="eastAsia" w:cs="Times New Roman"/>
          <w:sz w:val="20"/>
          <w:szCs w:val="20"/>
          <w:lang w:val="en-US" w:eastAsia="zh-CN"/>
        </w:rPr>
        <w:t xml:space="preserve">, i.e., </w:t>
      </w:r>
      <w:r>
        <w:rPr>
          <w:rFonts w:hint="default" w:ascii="Times New Roman" w:hAnsi="Times New Roman" w:cs="Times New Roman"/>
          <w:highlight w:val="none"/>
          <w:lang w:val="en-US" w:eastAsia="zh-CN"/>
        </w:rPr>
        <w:t xml:space="preserve">the number of available REs for TBS determination are the total REs </w:t>
      </w:r>
      <w:r>
        <w:rPr>
          <w:rFonts w:hint="eastAsia" w:cs="Times New Roman"/>
          <w:highlight w:val="none"/>
          <w:lang w:val="en-US" w:eastAsia="zh-CN"/>
        </w:rPr>
        <w:t>in</w:t>
      </w:r>
      <w:r>
        <w:rPr>
          <w:rFonts w:hint="default" w:ascii="Times New Roman" w:hAnsi="Times New Roman" w:cs="Times New Roman"/>
          <w:highlight w:val="none"/>
          <w:lang w:val="en-US" w:eastAsia="zh-CN"/>
        </w:rPr>
        <w:t xml:space="preserve"> the multiple slots excluding the reference signals. </w:t>
      </w:r>
      <w:r>
        <w:rPr>
          <w:rFonts w:hint="eastAsia" w:cs="Times New Roman"/>
          <w:highlight w:val="none"/>
          <w:lang w:val="en-US" w:eastAsia="zh-CN"/>
        </w:rPr>
        <w:t>In this context</w:t>
      </w:r>
      <w:r>
        <w:rPr>
          <w:rFonts w:hint="default" w:ascii="Times New Roman" w:hAnsi="Times New Roman" w:cs="Times New Roman"/>
          <w:highlight w:val="none"/>
          <w:lang w:val="en-US" w:eastAsia="zh-CN"/>
        </w:rPr>
        <w:t>, the TBS will be large</w:t>
      </w:r>
      <w:r>
        <w:rPr>
          <w:rFonts w:hint="eastAsia" w:cs="Times New Roman"/>
          <w:highlight w:val="none"/>
          <w:lang w:val="en-US" w:eastAsia="zh-CN"/>
        </w:rPr>
        <w:t>r than that of defined in Rel-15/16,</w:t>
      </w:r>
      <w:r>
        <w:rPr>
          <w:rFonts w:hint="default" w:ascii="Times New Roman" w:hAnsi="Times New Roman" w:cs="Times New Roman"/>
          <w:highlight w:val="none"/>
          <w:lang w:val="en-US" w:eastAsia="zh-CN"/>
        </w:rPr>
        <w:t xml:space="preserve"> and it may exceed UE</w:t>
      </w:r>
      <w:r>
        <w:rPr>
          <w:rFonts w:hint="eastAsia" w:cs="Times New Roman"/>
          <w:highlight w:val="none"/>
          <w:lang w:val="en-US" w:eastAsia="zh-CN"/>
        </w:rPr>
        <w:t xml:space="preserve"> transmission</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or gNB reception </w:t>
      </w:r>
      <w:r>
        <w:rPr>
          <w:rFonts w:hint="default" w:ascii="Times New Roman" w:hAnsi="Times New Roman" w:cs="Times New Roman"/>
          <w:highlight w:val="none"/>
          <w:lang w:val="en-US" w:eastAsia="zh-CN"/>
        </w:rPr>
        <w:t>buffer size. In addition, the</w:t>
      </w:r>
      <w:r>
        <w:rPr>
          <w:rFonts w:hint="eastAsia" w:cs="Times New Roman"/>
          <w:highlight w:val="none"/>
          <w:lang w:val="en-US" w:eastAsia="zh-CN"/>
        </w:rPr>
        <w:t xml:space="preserve"> WI is </w:t>
      </w:r>
      <w:r>
        <w:rPr>
          <w:rFonts w:hint="default" w:ascii="Times New Roman" w:hAnsi="Times New Roman" w:cs="Times New Roman"/>
          <w:highlight w:val="none"/>
          <w:lang w:val="en-US" w:eastAsia="zh-CN"/>
        </w:rPr>
        <w:t xml:space="preserve">for coverage enhancement </w:t>
      </w:r>
      <w:r>
        <w:rPr>
          <w:rFonts w:hint="eastAsia" w:cs="Times New Roman"/>
          <w:highlight w:val="none"/>
          <w:lang w:val="en-US" w:eastAsia="zh-CN"/>
        </w:rPr>
        <w:t xml:space="preserve">instead of enlarging the </w:t>
      </w:r>
      <w:r>
        <w:rPr>
          <w:rFonts w:hint="default" w:ascii="Times New Roman" w:hAnsi="Times New Roman" w:cs="Times New Roman"/>
          <w:highlight w:val="none"/>
          <w:lang w:val="en-US" w:eastAsia="zh-CN"/>
        </w:rPr>
        <w:t>throughput</w:t>
      </w:r>
      <w:r>
        <w:rPr>
          <w:rFonts w:hint="eastAsia" w:cs="Times New Roman"/>
          <w:highlight w:val="none"/>
          <w:lang w:val="en-US" w:eastAsia="zh-CN"/>
        </w:rPr>
        <w:t>. A cell</w:t>
      </w:r>
      <w:r>
        <w:rPr>
          <w:rFonts w:hint="default" w:ascii="Times New Roman" w:hAnsi="Times New Roman" w:cs="Times New Roman"/>
          <w:highlight w:val="none"/>
          <w:lang w:val="en-US" w:eastAsia="zh-CN"/>
        </w:rPr>
        <w:t xml:space="preserve"> edge UE with a large</w:t>
      </w:r>
      <w:r>
        <w:rPr>
          <w:rFonts w:hint="eastAsia" w:cs="Times New Roman"/>
          <w:highlight w:val="none"/>
          <w:lang w:val="en-US" w:eastAsia="zh-CN"/>
        </w:rPr>
        <w:t>r</w:t>
      </w:r>
      <w:r>
        <w:rPr>
          <w:rFonts w:hint="default" w:ascii="Times New Roman" w:hAnsi="Times New Roman" w:cs="Times New Roman"/>
          <w:highlight w:val="none"/>
          <w:lang w:val="en-US" w:eastAsia="zh-CN"/>
        </w:rPr>
        <w:t xml:space="preserve"> TBS </w:t>
      </w:r>
      <w:r>
        <w:rPr>
          <w:rFonts w:hint="eastAsia" w:cs="Times New Roman"/>
          <w:highlight w:val="none"/>
          <w:lang w:val="en-US" w:eastAsia="zh-CN"/>
        </w:rPr>
        <w:t xml:space="preserve">would impose </w:t>
      </w:r>
      <w:r>
        <w:rPr>
          <w:rFonts w:hint="default" w:ascii="Times New Roman" w:hAnsi="Times New Roman" w:cs="Times New Roman"/>
          <w:highlight w:val="none"/>
          <w:lang w:val="en-US" w:eastAsia="zh-CN"/>
        </w:rPr>
        <w:t>a great</w:t>
      </w:r>
      <w:r>
        <w:rPr>
          <w:rFonts w:hint="eastAsia" w:cs="Times New Roman"/>
          <w:highlight w:val="none"/>
          <w:lang w:val="en-US" w:eastAsia="zh-CN"/>
        </w:rPr>
        <w:t>er</w:t>
      </w:r>
      <w:r>
        <w:rPr>
          <w:rFonts w:hint="default" w:ascii="Times New Roman" w:hAnsi="Times New Roman" w:cs="Times New Roman"/>
          <w:highlight w:val="none"/>
          <w:lang w:val="en-US" w:eastAsia="zh-CN"/>
        </w:rPr>
        <w:t xml:space="preserve"> challenge for coverage performance due to the limited power budge. </w:t>
      </w:r>
      <w:r>
        <w:rPr>
          <w:rFonts w:hint="eastAsia" w:cs="Times New Roman"/>
          <w:highlight w:val="none"/>
          <w:lang w:val="en-US" w:eastAsia="zh-CN"/>
        </w:rPr>
        <w:t xml:space="preserve">Thus, </w:t>
      </w:r>
      <w:r>
        <w:rPr>
          <w:rFonts w:hint="default" w:ascii="Times New Roman" w:hAnsi="Times New Roman" w:cs="Times New Roman"/>
          <w:highlight w:val="none"/>
          <w:lang w:val="en-US" w:eastAsia="zh-CN"/>
        </w:rPr>
        <w:t xml:space="preserve">the maximum TBS </w:t>
      </w:r>
      <w:r>
        <w:rPr>
          <w:rFonts w:hint="eastAsia" w:cs="Times New Roman"/>
          <w:highlight w:val="none"/>
          <w:lang w:val="en-US" w:eastAsia="zh-CN"/>
        </w:rPr>
        <w:t xml:space="preserve">per HARQ process </w:t>
      </w:r>
      <w:r>
        <w:rPr>
          <w:rFonts w:hint="default" w:ascii="Times New Roman" w:hAnsi="Times New Roman" w:cs="Times New Roman"/>
          <w:highlight w:val="none"/>
          <w:lang w:val="en-US" w:eastAsia="zh-CN"/>
        </w:rPr>
        <w:t xml:space="preserve">should be limited </w:t>
      </w:r>
      <w:r>
        <w:rPr>
          <w:rFonts w:hint="eastAsia" w:cs="Times New Roman"/>
          <w:highlight w:val="none"/>
          <w:lang w:val="en-US" w:eastAsia="zh-CN"/>
        </w:rPr>
        <w:t xml:space="preserve">to not exceed legacy TBS </w:t>
      </w:r>
      <w:r>
        <w:rPr>
          <w:rFonts w:hint="default" w:ascii="Times New Roman" w:hAnsi="Times New Roman" w:cs="Times New Roman"/>
          <w:highlight w:val="none"/>
          <w:lang w:val="en-US" w:eastAsia="zh-CN"/>
        </w:rPr>
        <w:t xml:space="preserve">when TB processing </w:t>
      </w:r>
      <w:r>
        <w:rPr>
          <w:rFonts w:hint="eastAsia" w:cs="Times New Roman"/>
          <w:highlight w:val="none"/>
          <w:lang w:val="en-US" w:eastAsia="zh-CN"/>
        </w:rPr>
        <w:t xml:space="preserve">over </w:t>
      </w:r>
      <w:r>
        <w:rPr>
          <w:rFonts w:hint="default" w:ascii="Times New Roman" w:hAnsi="Times New Roman" w:cs="Times New Roman"/>
          <w:highlight w:val="none"/>
          <w:lang w:val="en-US" w:eastAsia="zh-CN"/>
        </w:rPr>
        <w:t>multiple slots is enabled.</w:t>
      </w:r>
      <w:r>
        <w:rPr>
          <w:rFonts w:hint="eastAsia" w:cs="Times New Roman"/>
          <w:highlight w:val="none"/>
          <w:lang w:val="en-US" w:eastAsia="zh-CN"/>
        </w:rPr>
        <w:t xml:space="preserve"> The detailed method for TBS determination could be further discussed. </w:t>
      </w:r>
    </w:p>
    <w:p>
      <w:pPr>
        <w:rPr>
          <w:rFonts w:hint="eastAsia" w:cs="Times New Roman"/>
          <w:i/>
          <w:i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5</w:t>
      </w:r>
      <w:r>
        <w:rPr>
          <w:rFonts w:hint="default" w:ascii="Times New Roman" w:hAnsi="Times New Roman" w:cs="Times New Roman"/>
          <w:b/>
          <w:bCs/>
          <w:i/>
          <w:iCs/>
          <w:highlight w:val="none"/>
          <w:lang w:val="en-US" w:eastAsia="zh-CN"/>
        </w:rPr>
        <w:t xml:space="preserve">: </w:t>
      </w:r>
      <w:r>
        <w:rPr>
          <w:rFonts w:hint="eastAsia" w:cs="Times New Roman"/>
          <w:b w:val="0"/>
          <w:bCs w:val="0"/>
          <w:i/>
          <w:iCs/>
          <w:highlight w:val="none"/>
          <w:lang w:val="en-US" w:eastAsia="zh-CN"/>
        </w:rPr>
        <w:t xml:space="preserve">For TB processing over multiple slots, the maximum supporting </w:t>
      </w:r>
      <w:r>
        <w:rPr>
          <w:rFonts w:hint="default" w:ascii="Times New Roman" w:hAnsi="Times New Roman" w:cs="Times New Roman"/>
          <w:b w:val="0"/>
          <w:bCs w:val="0"/>
          <w:i/>
          <w:iCs/>
          <w:highlight w:val="none"/>
          <w:lang w:val="en-US" w:eastAsia="zh-CN"/>
        </w:rPr>
        <w:t>TBS</w:t>
      </w:r>
      <w:r>
        <w:rPr>
          <w:rFonts w:hint="eastAsia" w:cs="Times New Roman"/>
          <w:b w:val="0"/>
          <w:bCs w:val="0"/>
          <w:i/>
          <w:iCs/>
          <w:highlight w:val="none"/>
          <w:lang w:val="en-US" w:eastAsia="zh-CN"/>
        </w:rPr>
        <w:t xml:space="preserve"> per HARQ process should not</w:t>
      </w:r>
      <w:r>
        <w:rPr>
          <w:rFonts w:hint="default" w:ascii="Times New Roman" w:hAnsi="Times New Roman" w:cs="Times New Roman"/>
          <w:b w:val="0"/>
          <w:bCs w:val="0"/>
          <w:i/>
          <w:iCs/>
          <w:highlight w:val="none"/>
          <w:lang w:val="en-US" w:eastAsia="zh-CN"/>
        </w:rPr>
        <w:t xml:space="preserve"> </w:t>
      </w:r>
      <w:r>
        <w:rPr>
          <w:rFonts w:hint="eastAsia" w:cs="Times New Roman"/>
          <w:i/>
          <w:iCs/>
          <w:highlight w:val="none"/>
          <w:lang w:val="en-US" w:eastAsia="zh-CN"/>
        </w:rPr>
        <w:t xml:space="preserve"> exceed legacy TBS in Rel-15/16. </w:t>
      </w:r>
    </w:p>
    <w:p>
      <w:pPr>
        <w:numPr>
          <w:ilvl w:val="0"/>
          <w:numId w:val="12"/>
        </w:numPr>
        <w:ind w:left="840" w:hanging="420"/>
        <w:rPr>
          <w:rFonts w:hint="default" w:cs="Times New Roman"/>
          <w:i/>
          <w:iCs/>
          <w:highlight w:val="none"/>
          <w:lang w:val="en-US" w:eastAsia="zh-CN"/>
        </w:rPr>
      </w:pPr>
      <w:r>
        <w:rPr>
          <w:rFonts w:hint="eastAsia" w:cs="Times New Roman"/>
          <w:i/>
          <w:iCs/>
          <w:highlight w:val="none"/>
          <w:lang w:val="en-US" w:eastAsia="zh-CN"/>
        </w:rPr>
        <w:t xml:space="preserve"> FFS detailed method for TBS determination. </w:t>
      </w:r>
    </w:p>
    <w:p>
      <w:pPr>
        <w:pStyle w:val="3"/>
        <w:ind w:left="576" w:hanging="576"/>
        <w:rPr>
          <w:rFonts w:hint="default"/>
          <w:lang w:val="en-US" w:eastAsia="zh-CN"/>
        </w:rPr>
      </w:pPr>
      <w:r>
        <w:rPr>
          <w:rFonts w:hint="eastAsia"/>
          <w:lang w:val="en-US" w:eastAsia="zh-CN"/>
        </w:rPr>
        <w:t xml:space="preserve">UCI multiplexing on PUSCH for TB processing </w:t>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eastAsia"/>
          <w:iCs/>
          <w:position w:val="-6"/>
          <w:lang w:val="en-US" w:eastAsia="zh-CN"/>
        </w:rPr>
      </w:pPr>
      <w:bookmarkStart w:id="7" w:name="OLE_LINK55"/>
      <w:bookmarkStart w:id="8" w:name="OLE_LINK59"/>
      <w:r>
        <w:rPr>
          <w:rFonts w:hint="eastAsia"/>
          <w:iCs/>
          <w:position w:val="-6"/>
          <w:lang w:val="en-US" w:eastAsia="zh-CN"/>
        </w:rPr>
        <w:t>When TB processing over multiple slots is enabled, and UE also sends UCI information during the one or more slots, which overlap with PUSCH transmission over the multiple slots, the UCI multiplexing rules should be discussed. More specifically, the following cases should be discussed.</w:t>
      </w:r>
    </w:p>
    <w:p>
      <w:pPr>
        <w:pStyle w:val="152"/>
        <w:keepNext w:val="0"/>
        <w:keepLines w:val="0"/>
        <w:pageBreakBefore w:val="0"/>
        <w:widowControl/>
        <w:numPr>
          <w:ilvl w:val="0"/>
          <w:numId w:val="13"/>
        </w:numPr>
        <w:kinsoku/>
        <w:wordWrap/>
        <w:overflowPunct/>
        <w:topLinePunct w:val="0"/>
        <w:autoSpaceDE/>
        <w:autoSpaceDN/>
        <w:bidi w:val="0"/>
        <w:adjustRightInd/>
        <w:snapToGrid/>
        <w:spacing w:after="156" w:afterLines="50"/>
        <w:ind w:left="420" w:leftChars="0" w:hanging="420" w:firstLineChars="0"/>
        <w:textAlignment w:val="auto"/>
        <w:outlineLvl w:val="9"/>
        <w:rPr>
          <w:rFonts w:hint="default"/>
          <w:iCs/>
          <w:position w:val="-6"/>
          <w:lang w:val="en-US" w:eastAsia="zh-CN"/>
        </w:rPr>
      </w:pPr>
      <w:r>
        <w:rPr>
          <w:rFonts w:hint="eastAsia"/>
          <w:iCs/>
          <w:position w:val="-6"/>
          <w:lang w:val="en-US" w:eastAsia="zh-CN"/>
        </w:rPr>
        <w:t xml:space="preserve">Case 1: PUCCH w/o repetition overlaps with PUSCH in one slot of the multiple slots for TB processing in one serving cell. </w:t>
      </w:r>
    </w:p>
    <w:p>
      <w:pPr>
        <w:pStyle w:val="152"/>
        <w:keepNext w:val="0"/>
        <w:keepLines w:val="0"/>
        <w:pageBreakBefore w:val="0"/>
        <w:widowControl/>
        <w:numPr>
          <w:ilvl w:val="0"/>
          <w:numId w:val="13"/>
        </w:numPr>
        <w:kinsoku/>
        <w:wordWrap/>
        <w:overflowPunct/>
        <w:topLinePunct w:val="0"/>
        <w:autoSpaceDE/>
        <w:autoSpaceDN/>
        <w:bidi w:val="0"/>
        <w:adjustRightInd/>
        <w:snapToGrid/>
        <w:spacing w:after="156" w:afterLines="50"/>
        <w:ind w:left="420" w:leftChars="0" w:hanging="420" w:firstLineChars="0"/>
        <w:textAlignment w:val="auto"/>
        <w:outlineLvl w:val="9"/>
        <w:rPr>
          <w:rFonts w:hint="default"/>
          <w:iCs/>
          <w:position w:val="-6"/>
          <w:lang w:val="en-US" w:eastAsia="zh-CN"/>
        </w:rPr>
      </w:pPr>
      <w:r>
        <w:rPr>
          <w:rFonts w:hint="eastAsia"/>
          <w:iCs/>
          <w:position w:val="-6"/>
          <w:lang w:val="en-US" w:eastAsia="zh-CN"/>
        </w:rPr>
        <w:t xml:space="preserve">Case 2: PUCCH w/o repetition overlaps with PUSCH in more than one slots of the multiple slots for TB processing in CA with different SCS case. </w:t>
      </w:r>
    </w:p>
    <w:p>
      <w:pPr>
        <w:pStyle w:val="152"/>
        <w:keepNext w:val="0"/>
        <w:keepLines w:val="0"/>
        <w:pageBreakBefore w:val="0"/>
        <w:widowControl/>
        <w:numPr>
          <w:ilvl w:val="0"/>
          <w:numId w:val="13"/>
        </w:numPr>
        <w:kinsoku/>
        <w:wordWrap/>
        <w:overflowPunct/>
        <w:topLinePunct w:val="0"/>
        <w:autoSpaceDE/>
        <w:autoSpaceDN/>
        <w:bidi w:val="0"/>
        <w:adjustRightInd/>
        <w:snapToGrid/>
        <w:spacing w:after="156" w:afterLines="50"/>
        <w:ind w:left="420" w:leftChars="0" w:hanging="420" w:firstLineChars="0"/>
        <w:textAlignment w:val="auto"/>
        <w:outlineLvl w:val="9"/>
        <w:rPr>
          <w:rFonts w:hint="default"/>
          <w:iCs/>
          <w:position w:val="-6"/>
          <w:lang w:val="en-US" w:eastAsia="zh-CN"/>
        </w:rPr>
      </w:pPr>
      <w:r>
        <w:rPr>
          <w:rFonts w:hint="eastAsia"/>
          <w:iCs/>
          <w:position w:val="-6"/>
          <w:lang w:val="en-US" w:eastAsia="zh-CN"/>
        </w:rPr>
        <w:t xml:space="preserve">Case 3: PUCCH w/ repetition overlaps with PUSCH in one or more slots of the multiple slots for TB processing in one serving cell. </w:t>
      </w:r>
    </w:p>
    <w:p>
      <w:pPr>
        <w:pStyle w:val="152"/>
        <w:keepNext w:val="0"/>
        <w:keepLines w:val="0"/>
        <w:pageBreakBefore w:val="0"/>
        <w:widowControl/>
        <w:numPr>
          <w:ilvl w:val="0"/>
          <w:numId w:val="13"/>
        </w:numPr>
        <w:kinsoku/>
        <w:wordWrap/>
        <w:overflowPunct/>
        <w:topLinePunct w:val="0"/>
        <w:autoSpaceDE/>
        <w:autoSpaceDN/>
        <w:bidi w:val="0"/>
        <w:adjustRightInd/>
        <w:snapToGrid/>
        <w:spacing w:after="156" w:afterLines="50"/>
        <w:ind w:left="420" w:leftChars="0" w:hanging="420" w:firstLineChars="0"/>
        <w:textAlignment w:val="auto"/>
        <w:outlineLvl w:val="9"/>
        <w:rPr>
          <w:rFonts w:hint="default"/>
          <w:iCs/>
          <w:position w:val="-6"/>
          <w:lang w:val="en-US" w:eastAsia="zh-CN"/>
        </w:rPr>
      </w:pPr>
      <w:r>
        <w:rPr>
          <w:rFonts w:hint="eastAsia"/>
          <w:iCs/>
          <w:position w:val="-6"/>
          <w:lang w:val="en-US" w:eastAsia="zh-CN"/>
        </w:rPr>
        <w:t xml:space="preserve">Case 4: PUCCH w/ repetition overlaps with PUSCH in one or more slots of the multiple slots for TB processing in in CA with different SCS case. </w:t>
      </w:r>
    </w:p>
    <w:p>
      <w:pPr>
        <w:pStyle w:val="152"/>
        <w:keepNext w:val="0"/>
        <w:keepLines w:val="0"/>
        <w:pageBreakBefore w:val="0"/>
        <w:widowControl/>
        <w:numPr>
          <w:ilvl w:val="-1"/>
          <w:numId w:val="0"/>
        </w:numPr>
        <w:kinsoku/>
        <w:wordWrap/>
        <w:overflowPunct/>
        <w:topLinePunct w:val="0"/>
        <w:autoSpaceDE/>
        <w:autoSpaceDN/>
        <w:bidi w:val="0"/>
        <w:adjustRightInd/>
        <w:snapToGrid/>
        <w:spacing w:after="156" w:afterLines="50"/>
        <w:ind w:left="0" w:leftChars="0" w:firstLine="0" w:firstLineChars="0"/>
        <w:textAlignment w:val="auto"/>
        <w:outlineLvl w:val="9"/>
        <w:rPr>
          <w:rFonts w:hint="default"/>
          <w:iCs/>
          <w:position w:val="-6"/>
          <w:lang w:val="en-US" w:eastAsia="zh-CN"/>
        </w:rPr>
      </w:pPr>
      <w:r>
        <w:rPr>
          <w:rFonts w:hint="eastAsia"/>
          <w:iCs/>
          <w:position w:val="-6"/>
          <w:lang w:val="en-US" w:eastAsia="zh-CN"/>
        </w:rPr>
        <w:t xml:space="preserve">For above four cases, PUCCH with different UCI types and PUSCH with DG or CG transmission should all be considered. In addition, how to calculate the number of REs for UCI multiplexing should also be determined. </w:t>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eastAsia"/>
          <w:iCs/>
          <w:position w:val="-6"/>
          <w:lang w:val="en-US" w:eastAsia="zh-CN"/>
        </w:rPr>
      </w:pPr>
      <w:r>
        <w:rPr>
          <w:rFonts w:hint="eastAsia"/>
          <w:b/>
          <w:bCs/>
          <w:i/>
          <w:iCs w:val="0"/>
          <w:position w:val="-6"/>
          <w:lang w:val="en-US" w:eastAsia="zh-CN"/>
        </w:rPr>
        <w:t xml:space="preserve">Proposal 6: </w:t>
      </w:r>
      <w:r>
        <w:rPr>
          <w:rFonts w:hint="eastAsia"/>
          <w:b w:val="0"/>
          <w:bCs w:val="0"/>
          <w:i/>
          <w:iCs w:val="0"/>
          <w:position w:val="-6"/>
          <w:lang w:val="en-US" w:eastAsia="zh-CN"/>
        </w:rPr>
        <w:t>Discuss the UCI multiplexing rules in case PUCCH overlaps with PUSCH in one or more slots of the multiple slots for TB processing.</w:t>
      </w:r>
      <w:bookmarkEnd w:id="7"/>
      <w:bookmarkEnd w:id="8"/>
    </w:p>
    <w:p>
      <w:pPr>
        <w:pStyle w:val="3"/>
        <w:ind w:left="576" w:hanging="576"/>
        <w:rPr>
          <w:rFonts w:hint="default"/>
          <w:lang w:val="en-US" w:eastAsia="zh-CN"/>
        </w:rPr>
      </w:pPr>
      <w:r>
        <w:rPr>
          <w:rFonts w:hint="eastAsia"/>
          <w:lang w:val="en-US" w:eastAsia="zh-CN"/>
        </w:rPr>
        <w:t>Power control determination</w:t>
      </w:r>
    </w:p>
    <w:p>
      <w:pPr>
        <w:rPr>
          <w:rFonts w:hint="default"/>
          <w:lang w:val="en-US" w:eastAsia="zh-CN"/>
        </w:rPr>
      </w:pPr>
      <w:r>
        <w:rPr>
          <w:rFonts w:hint="eastAsia"/>
          <w:lang w:val="en-US" w:eastAsia="zh-CN"/>
        </w:rPr>
        <w:t>In Rel-15/16, the PUSCH transmission power for a PUSCH transmission occasion is determined as follow formula in clause 7.1.1 in TS 38.213.</w:t>
      </w:r>
    </w:p>
    <w:p>
      <w:pPr>
        <w:jc w:val="center"/>
        <w:rPr>
          <w:rFonts w:hint="eastAsia"/>
          <w:lang w:val="en-US" w:eastAsia="zh-CN"/>
        </w:rPr>
      </w:pPr>
      <w:r>
        <w:rPr>
          <w:position w:val="-32"/>
        </w:rPr>
        <w:drawing>
          <wp:inline distT="0" distB="0" distL="114300" distR="114300">
            <wp:extent cx="5859780" cy="461010"/>
            <wp:effectExtent l="0" t="0" r="0" b="158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859780" cy="461010"/>
                    </a:xfrm>
                    <a:prstGeom prst="rect">
                      <a:avLst/>
                    </a:prstGeom>
                    <a:noFill/>
                    <a:ln>
                      <a:noFill/>
                    </a:ln>
                  </pic:spPr>
                </pic:pic>
              </a:graphicData>
            </a:graphic>
          </wp:inline>
        </w:drawing>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eastAsia"/>
          <w:iCs/>
          <w:position w:val="-6"/>
          <w:lang w:val="en-US" w:eastAsia="zh-CN"/>
        </w:rPr>
      </w:pPr>
      <w:r>
        <w:rPr>
          <w:rFonts w:hint="eastAsia"/>
          <w:iCs/>
          <w:position w:val="-6"/>
          <w:lang w:val="en-US" w:eastAsia="zh-CN"/>
        </w:rPr>
        <w:t>Where,</w:t>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eastAsia"/>
          <w:i/>
          <w:iCs w:val="0"/>
          <w:position w:val="-6"/>
          <w:lang w:val="en-US" w:eastAsia="zh-CN"/>
        </w:rPr>
      </w:pPr>
      <w:r>
        <w:rPr>
          <w:rFonts w:hint="eastAsia"/>
          <w:i/>
          <w:iCs w:val="0"/>
          <w:position w:val="-6"/>
          <w:lang w:val="en-US" w:eastAsia="zh-CN"/>
        </w:rPr>
        <w:t xml:space="preserve"> the total symbols was assumed in the transmission occasion of j.</w:t>
      </w:r>
    </w:p>
    <w:p>
      <w:pPr>
        <w:pStyle w:val="87"/>
        <w:rPr>
          <w:i/>
        </w:rPr>
      </w:pPr>
      <w:r>
        <w:rPr>
          <w:i/>
        </w:rPr>
        <w:t>-</w:t>
      </w:r>
      <w:r>
        <w:rPr>
          <w:i/>
        </w:rPr>
        <w:tab/>
      </w:r>
      <w:r>
        <w:rPr>
          <w:i/>
          <w:position w:val="-14"/>
        </w:rPr>
        <w:drawing>
          <wp:inline distT="0" distB="0" distL="114300" distR="114300">
            <wp:extent cx="2186940" cy="278130"/>
            <wp:effectExtent l="0" t="0" r="3810" b="6350"/>
            <wp:docPr id="4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3"/>
                    <pic:cNvPicPr>
                      <a:picLocks noChangeAspect="1"/>
                    </pic:cNvPicPr>
                  </pic:nvPicPr>
                  <pic:blipFill>
                    <a:blip r:embed="rId8"/>
                    <a:stretch>
                      <a:fillRect/>
                    </a:stretch>
                  </pic:blipFill>
                  <pic:spPr>
                    <a:xfrm>
                      <a:off x="0" y="0"/>
                      <a:ext cx="2186940" cy="278130"/>
                    </a:xfrm>
                    <a:prstGeom prst="rect">
                      <a:avLst/>
                    </a:prstGeom>
                    <a:noFill/>
                    <a:ln>
                      <a:noFill/>
                    </a:ln>
                  </pic:spPr>
                </pic:pic>
              </a:graphicData>
            </a:graphic>
          </wp:inline>
        </w:drawing>
      </w:r>
      <w:r>
        <w:rPr>
          <w:i/>
          <w:lang w:val="en-US"/>
        </w:rPr>
        <w:t xml:space="preserve"> </w:t>
      </w:r>
      <w:r>
        <w:rPr>
          <w:i/>
        </w:rPr>
        <w:t xml:space="preserve">for </w:t>
      </w:r>
      <w:r>
        <w:rPr>
          <w:i/>
          <w:position w:val="-10"/>
        </w:rPr>
        <w:drawing>
          <wp:inline distT="0" distB="0" distL="114300" distR="114300">
            <wp:extent cx="556260" cy="182880"/>
            <wp:effectExtent l="0" t="0" r="15240" b="6350"/>
            <wp:docPr id="4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4"/>
                    <pic:cNvPicPr>
                      <a:picLocks noChangeAspect="1"/>
                    </pic:cNvPicPr>
                  </pic:nvPicPr>
                  <pic:blipFill>
                    <a:blip r:embed="rId9"/>
                    <a:stretch>
                      <a:fillRect/>
                    </a:stretch>
                  </pic:blipFill>
                  <pic:spPr>
                    <a:xfrm>
                      <a:off x="0" y="0"/>
                      <a:ext cx="556260" cy="182880"/>
                    </a:xfrm>
                    <a:prstGeom prst="rect">
                      <a:avLst/>
                    </a:prstGeom>
                    <a:noFill/>
                    <a:ln>
                      <a:noFill/>
                    </a:ln>
                  </pic:spPr>
                </pic:pic>
              </a:graphicData>
            </a:graphic>
          </wp:inline>
        </w:drawing>
      </w:r>
      <w:r>
        <w:rPr>
          <w:i/>
          <w:lang w:val="en-US"/>
        </w:rPr>
        <w:t xml:space="preserve"> </w:t>
      </w:r>
      <w:r>
        <w:rPr>
          <w:i/>
        </w:rPr>
        <w:t xml:space="preserve">and </w:t>
      </w:r>
      <w:r>
        <w:rPr>
          <w:i/>
          <w:position w:val="-12"/>
        </w:rPr>
        <w:drawing>
          <wp:inline distT="0" distB="0" distL="114300" distR="114300">
            <wp:extent cx="731520" cy="205105"/>
            <wp:effectExtent l="0" t="0" r="11430" b="381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10"/>
                    <a:stretch>
                      <a:fillRect/>
                    </a:stretch>
                  </pic:blipFill>
                  <pic:spPr>
                    <a:xfrm>
                      <a:off x="0" y="0"/>
                      <a:ext cx="731520" cy="205105"/>
                    </a:xfrm>
                    <a:prstGeom prst="rect">
                      <a:avLst/>
                    </a:prstGeom>
                    <a:noFill/>
                    <a:ln>
                      <a:noFill/>
                    </a:ln>
                  </pic:spPr>
                </pic:pic>
              </a:graphicData>
            </a:graphic>
          </wp:inline>
        </w:drawing>
      </w:r>
      <w:r>
        <w:rPr>
          <w:i/>
        </w:rPr>
        <w:t xml:space="preserve"> for </w:t>
      </w:r>
      <w:r>
        <w:rPr>
          <w:i/>
          <w:position w:val="-10"/>
        </w:rPr>
        <w:drawing>
          <wp:inline distT="0" distB="0" distL="114300" distR="114300">
            <wp:extent cx="358140" cy="182880"/>
            <wp:effectExtent l="0" t="0" r="3810" b="6350"/>
            <wp:docPr id="4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6"/>
                    <pic:cNvPicPr>
                      <a:picLocks noChangeAspect="1"/>
                    </pic:cNvPicPr>
                  </pic:nvPicPr>
                  <pic:blipFill>
                    <a:blip r:embed="rId11"/>
                    <a:stretch>
                      <a:fillRect/>
                    </a:stretch>
                  </pic:blipFill>
                  <pic:spPr>
                    <a:xfrm>
                      <a:off x="0" y="0"/>
                      <a:ext cx="358140" cy="182880"/>
                    </a:xfrm>
                    <a:prstGeom prst="rect">
                      <a:avLst/>
                    </a:prstGeom>
                    <a:noFill/>
                    <a:ln>
                      <a:noFill/>
                    </a:ln>
                  </pic:spPr>
                </pic:pic>
              </a:graphicData>
            </a:graphic>
          </wp:inline>
        </w:drawing>
      </w:r>
      <w:r>
        <w:rPr>
          <w:i/>
          <w:lang w:val="en-US"/>
        </w:rPr>
        <w:t xml:space="preserve"> </w:t>
      </w:r>
      <w:r>
        <w:rPr>
          <w:i/>
        </w:rPr>
        <w:t xml:space="preserve">where </w:t>
      </w:r>
      <w:r>
        <w:rPr>
          <w:i/>
          <w:position w:val="-10"/>
        </w:rPr>
        <w:drawing>
          <wp:inline distT="0" distB="0" distL="114300" distR="114300">
            <wp:extent cx="182880" cy="182880"/>
            <wp:effectExtent l="0" t="0" r="7620" b="6350"/>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12"/>
                    <a:stretch>
                      <a:fillRect/>
                    </a:stretch>
                  </pic:blipFill>
                  <pic:spPr>
                    <a:xfrm>
                      <a:off x="0" y="0"/>
                      <a:ext cx="182880" cy="182880"/>
                    </a:xfrm>
                    <a:prstGeom prst="rect">
                      <a:avLst/>
                    </a:prstGeom>
                    <a:noFill/>
                    <a:ln>
                      <a:noFill/>
                    </a:ln>
                  </pic:spPr>
                </pic:pic>
              </a:graphicData>
            </a:graphic>
          </wp:inline>
        </w:drawing>
      </w:r>
      <w:r>
        <w:rPr>
          <w:i/>
        </w:rPr>
        <w:t xml:space="preserve"> is </w:t>
      </w:r>
      <w:r>
        <w:rPr>
          <w:i/>
          <w:lang w:val="en-US"/>
        </w:rPr>
        <w:t>provided</w:t>
      </w:r>
      <w:r>
        <w:rPr>
          <w:i/>
        </w:rPr>
        <w:t xml:space="preserve"> by </w:t>
      </w:r>
      <w:r>
        <w:rPr>
          <w:i/>
          <w:lang w:eastAsia="zh-CN"/>
        </w:rPr>
        <w:t>deltaMCS</w:t>
      </w:r>
      <w:r>
        <w:rPr>
          <w:i/>
          <w:lang w:val="en-US"/>
        </w:rPr>
        <w:t xml:space="preserve"> </w:t>
      </w:r>
      <w:r>
        <w:rPr>
          <w:i/>
        </w:rPr>
        <w:t xml:space="preserve">for </w:t>
      </w:r>
      <w:r>
        <w:rPr>
          <w:i/>
          <w:lang w:val="en-US"/>
        </w:rPr>
        <w:t xml:space="preserve">each UL BWP </w:t>
      </w:r>
      <w:r>
        <w:rPr>
          <w:i/>
          <w:iCs w:val="0"/>
          <w:position w:val="-6"/>
        </w:rPr>
        <w:drawing>
          <wp:inline distT="0" distB="0" distL="114300" distR="114300">
            <wp:extent cx="95250" cy="182880"/>
            <wp:effectExtent l="0" t="0" r="0" b="5080"/>
            <wp:docPr id="2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8"/>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i/>
          <w:iCs w:val="0"/>
          <w:lang w:val="en-US"/>
        </w:rPr>
        <w:t xml:space="preserve"> </w:t>
      </w:r>
      <w:r>
        <w:rPr>
          <w:i/>
          <w:lang w:val="en-US"/>
        </w:rPr>
        <w:t xml:space="preserve">of </w:t>
      </w:r>
      <w:r>
        <w:rPr>
          <w:i/>
        </w:rPr>
        <w:t xml:space="preserve">each </w:t>
      </w:r>
      <w:r>
        <w:rPr>
          <w:i/>
          <w:lang w:val="en-US"/>
        </w:rPr>
        <w:t xml:space="preserve">carrier </w:t>
      </w:r>
      <w:r>
        <w:rPr>
          <w:i/>
          <w:iCs w:val="0"/>
          <w:position w:val="-10"/>
        </w:rPr>
        <w:drawing>
          <wp:inline distT="0" distB="0" distL="114300" distR="114300">
            <wp:extent cx="182880" cy="182880"/>
            <wp:effectExtent l="0" t="0" r="0" b="6350"/>
            <wp:docPr id="2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9"/>
                    <pic:cNvPicPr>
                      <a:picLocks noChangeAspect="1"/>
                    </pic:cNvPicPr>
                  </pic:nvPicPr>
                  <pic:blipFill>
                    <a:blip r:embed="rId14"/>
                    <a:stretch>
                      <a:fillRect/>
                    </a:stretch>
                  </pic:blipFill>
                  <pic:spPr>
                    <a:xfrm>
                      <a:off x="0" y="0"/>
                      <a:ext cx="182880" cy="182880"/>
                    </a:xfrm>
                    <a:prstGeom prst="rect">
                      <a:avLst/>
                    </a:prstGeom>
                    <a:noFill/>
                    <a:ln>
                      <a:noFill/>
                    </a:ln>
                  </pic:spPr>
                </pic:pic>
              </a:graphicData>
            </a:graphic>
          </wp:inline>
        </w:drawing>
      </w:r>
      <w:r>
        <w:rPr>
          <w:i/>
          <w:iCs w:val="0"/>
          <w:lang w:val="en-US"/>
        </w:rPr>
        <w:t xml:space="preserve"> and </w:t>
      </w:r>
      <w:r>
        <w:rPr>
          <w:i/>
        </w:rPr>
        <w:t xml:space="preserve">serving cell </w:t>
      </w:r>
      <w:r>
        <w:rPr>
          <w:i/>
          <w:iCs w:val="0"/>
          <w:position w:val="-6"/>
        </w:rPr>
        <w:drawing>
          <wp:inline distT="0" distB="0" distL="114300" distR="114300">
            <wp:extent cx="124460" cy="160655"/>
            <wp:effectExtent l="0" t="0" r="8890" b="1270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5"/>
                    <a:stretch>
                      <a:fillRect/>
                    </a:stretch>
                  </pic:blipFill>
                  <pic:spPr>
                    <a:xfrm>
                      <a:off x="0" y="0"/>
                      <a:ext cx="124460" cy="160655"/>
                    </a:xfrm>
                    <a:prstGeom prst="rect">
                      <a:avLst/>
                    </a:prstGeom>
                    <a:noFill/>
                    <a:ln>
                      <a:noFill/>
                    </a:ln>
                  </pic:spPr>
                </pic:pic>
              </a:graphicData>
            </a:graphic>
          </wp:inline>
        </w:drawing>
      </w:r>
      <w:r>
        <w:rPr>
          <w:i/>
        </w:rPr>
        <w:t xml:space="preserve">. </w:t>
      </w:r>
      <w:r>
        <w:rPr>
          <w:i/>
          <w:lang w:val="en-US"/>
        </w:rPr>
        <w:t xml:space="preserve">If the PUSCH transmission is over more than one layer </w:t>
      </w:r>
      <w:r>
        <w:rPr>
          <w:i/>
        </w:rPr>
        <w:t>[</w:t>
      </w:r>
      <w:r>
        <w:rPr>
          <w:i/>
          <w:lang w:val="en-US"/>
        </w:rPr>
        <w:t>6</w:t>
      </w:r>
      <w:r>
        <w:rPr>
          <w:i/>
        </w:rPr>
        <w:t>, TS 38.</w:t>
      </w:r>
      <w:r>
        <w:rPr>
          <w:i/>
          <w:lang w:val="en-US"/>
        </w:rPr>
        <w:t>214</w:t>
      </w:r>
      <w:r>
        <w:rPr>
          <w:i/>
        </w:rPr>
        <w:t>]</w:t>
      </w:r>
      <w:r>
        <w:rPr>
          <w:i/>
          <w:lang w:val="en-US"/>
        </w:rPr>
        <w:t xml:space="preserve">, </w:t>
      </w:r>
      <w:r>
        <w:rPr>
          <w:i/>
          <w:position w:val="-12"/>
        </w:rPr>
        <w:drawing>
          <wp:inline distT="0" distB="0" distL="114300" distR="114300">
            <wp:extent cx="731520" cy="212090"/>
            <wp:effectExtent l="0" t="0" r="11430" b="17145"/>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pic:cNvPicPr>
                      <a:picLocks noChangeAspect="1"/>
                    </pic:cNvPicPr>
                  </pic:nvPicPr>
                  <pic:blipFill>
                    <a:blip r:embed="rId10"/>
                    <a:stretch>
                      <a:fillRect/>
                    </a:stretch>
                  </pic:blipFill>
                  <pic:spPr>
                    <a:xfrm>
                      <a:off x="0" y="0"/>
                      <a:ext cx="731520" cy="212090"/>
                    </a:xfrm>
                    <a:prstGeom prst="rect">
                      <a:avLst/>
                    </a:prstGeom>
                    <a:noFill/>
                    <a:ln>
                      <a:noFill/>
                    </a:ln>
                  </pic:spPr>
                </pic:pic>
              </a:graphicData>
            </a:graphic>
          </wp:inline>
        </w:drawing>
      </w:r>
      <w:r>
        <w:rPr>
          <w:i/>
          <w:lang w:val="en-US"/>
        </w:rPr>
        <w:t xml:space="preserve">. </w:t>
      </w:r>
      <w:r>
        <w:rPr>
          <w:i/>
          <w:position w:val="-4"/>
        </w:rPr>
        <w:drawing>
          <wp:inline distT="0" distB="0" distL="114300" distR="114300">
            <wp:extent cx="380365" cy="139065"/>
            <wp:effectExtent l="0" t="0" r="0" b="15240"/>
            <wp:docPr id="2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2"/>
                    <pic:cNvPicPr>
                      <a:picLocks noChangeAspect="1"/>
                    </pic:cNvPicPr>
                  </pic:nvPicPr>
                  <pic:blipFill>
                    <a:blip r:embed="rId16"/>
                    <a:stretch>
                      <a:fillRect/>
                    </a:stretch>
                  </pic:blipFill>
                  <pic:spPr>
                    <a:xfrm>
                      <a:off x="0" y="0"/>
                      <a:ext cx="380365" cy="139065"/>
                    </a:xfrm>
                    <a:prstGeom prst="rect">
                      <a:avLst/>
                    </a:prstGeom>
                    <a:noFill/>
                    <a:ln>
                      <a:noFill/>
                    </a:ln>
                  </pic:spPr>
                </pic:pic>
              </a:graphicData>
            </a:graphic>
          </wp:inline>
        </w:drawing>
      </w:r>
      <w:r>
        <w:rPr>
          <w:i/>
        </w:rPr>
        <w:t xml:space="preserve"> and </w:t>
      </w:r>
      <w:r>
        <w:rPr>
          <w:i/>
          <w:position w:val="-10"/>
        </w:rPr>
        <w:drawing>
          <wp:inline distT="0" distB="0" distL="114300" distR="114300">
            <wp:extent cx="373380" cy="205105"/>
            <wp:effectExtent l="0" t="0" r="7620" b="3810"/>
            <wp:docPr id="2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
                    <pic:cNvPicPr>
                      <a:picLocks noChangeAspect="1"/>
                    </pic:cNvPicPr>
                  </pic:nvPicPr>
                  <pic:blipFill>
                    <a:blip r:embed="rId17"/>
                    <a:stretch>
                      <a:fillRect/>
                    </a:stretch>
                  </pic:blipFill>
                  <pic:spPr>
                    <a:xfrm>
                      <a:off x="0" y="0"/>
                      <a:ext cx="373380" cy="205105"/>
                    </a:xfrm>
                    <a:prstGeom prst="rect">
                      <a:avLst/>
                    </a:prstGeom>
                    <a:noFill/>
                    <a:ln>
                      <a:noFill/>
                    </a:ln>
                  </pic:spPr>
                </pic:pic>
              </a:graphicData>
            </a:graphic>
          </wp:inline>
        </w:drawing>
      </w:r>
      <w:r>
        <w:rPr>
          <w:i/>
        </w:rPr>
        <w:t xml:space="preserve">, for </w:t>
      </w:r>
      <w:r>
        <w:rPr>
          <w:i/>
          <w:lang w:val="en-US"/>
        </w:rPr>
        <w:t xml:space="preserve">active UL BWP </w:t>
      </w:r>
      <w:r>
        <w:rPr>
          <w:i/>
          <w:iCs w:val="0"/>
          <w:position w:val="-6"/>
        </w:rPr>
        <w:drawing>
          <wp:inline distT="0" distB="0" distL="114300" distR="114300">
            <wp:extent cx="95250" cy="182880"/>
            <wp:effectExtent l="0" t="0" r="0" b="5080"/>
            <wp:docPr id="3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4"/>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i/>
          <w:iCs w:val="0"/>
          <w:lang w:val="en-US"/>
        </w:rPr>
        <w:t xml:space="preserve"> </w:t>
      </w:r>
      <w:r>
        <w:rPr>
          <w:i/>
          <w:lang w:val="en-US"/>
        </w:rPr>
        <w:t xml:space="preserve">of </w:t>
      </w:r>
      <w:r>
        <w:rPr>
          <w:i/>
        </w:rPr>
        <w:t xml:space="preserve">each </w:t>
      </w:r>
      <w:r>
        <w:rPr>
          <w:i/>
          <w:lang w:val="en-US"/>
        </w:rPr>
        <w:t xml:space="preserve">carrier </w:t>
      </w:r>
      <w:r>
        <w:rPr>
          <w:i/>
          <w:iCs w:val="0"/>
          <w:position w:val="-10"/>
        </w:rPr>
        <w:drawing>
          <wp:inline distT="0" distB="0" distL="114300" distR="114300">
            <wp:extent cx="182880" cy="182880"/>
            <wp:effectExtent l="0" t="0" r="0" b="6350"/>
            <wp:docPr id="4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5"/>
                    <pic:cNvPicPr>
                      <a:picLocks noChangeAspect="1"/>
                    </pic:cNvPicPr>
                  </pic:nvPicPr>
                  <pic:blipFill>
                    <a:blip r:embed="rId14"/>
                    <a:stretch>
                      <a:fillRect/>
                    </a:stretch>
                  </pic:blipFill>
                  <pic:spPr>
                    <a:xfrm>
                      <a:off x="0" y="0"/>
                      <a:ext cx="182880" cy="182880"/>
                    </a:xfrm>
                    <a:prstGeom prst="rect">
                      <a:avLst/>
                    </a:prstGeom>
                    <a:noFill/>
                    <a:ln>
                      <a:noFill/>
                    </a:ln>
                  </pic:spPr>
                </pic:pic>
              </a:graphicData>
            </a:graphic>
          </wp:inline>
        </w:drawing>
      </w:r>
      <w:r>
        <w:rPr>
          <w:i/>
          <w:iCs w:val="0"/>
          <w:lang w:val="en-US"/>
        </w:rPr>
        <w:t xml:space="preserve"> and </w:t>
      </w:r>
      <w:r>
        <w:rPr>
          <w:i/>
        </w:rPr>
        <w:t xml:space="preserve">each serving cell </w:t>
      </w:r>
      <w:r>
        <w:rPr>
          <w:i/>
          <w:iCs w:val="0"/>
          <w:position w:val="-6"/>
        </w:rPr>
        <w:drawing>
          <wp:inline distT="0" distB="0" distL="114300" distR="114300">
            <wp:extent cx="124460" cy="160655"/>
            <wp:effectExtent l="0" t="0" r="8890" b="12700"/>
            <wp:docPr id="4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6"/>
                    <pic:cNvPicPr>
                      <a:picLocks noChangeAspect="1"/>
                    </pic:cNvPicPr>
                  </pic:nvPicPr>
                  <pic:blipFill>
                    <a:blip r:embed="rId15"/>
                    <a:stretch>
                      <a:fillRect/>
                    </a:stretch>
                  </pic:blipFill>
                  <pic:spPr>
                    <a:xfrm>
                      <a:off x="0" y="0"/>
                      <a:ext cx="124460" cy="160655"/>
                    </a:xfrm>
                    <a:prstGeom prst="rect">
                      <a:avLst/>
                    </a:prstGeom>
                    <a:noFill/>
                    <a:ln>
                      <a:noFill/>
                    </a:ln>
                  </pic:spPr>
                </pic:pic>
              </a:graphicData>
            </a:graphic>
          </wp:inline>
        </w:drawing>
      </w:r>
      <w:r>
        <w:rPr>
          <w:i/>
        </w:rPr>
        <w:t>, are computed as below</w:t>
      </w:r>
    </w:p>
    <w:p>
      <w:pPr>
        <w:pStyle w:val="88"/>
        <w:rPr>
          <w:i/>
          <w:lang w:val="en-US" w:eastAsia="zh-CN"/>
        </w:rPr>
      </w:pPr>
      <w:r>
        <w:rPr>
          <w:i/>
        </w:rPr>
        <w:t>-</w:t>
      </w:r>
      <w:r>
        <w:rPr>
          <w:i/>
        </w:rPr>
        <w:tab/>
      </w:r>
      <w:r>
        <w:rPr>
          <w:i/>
          <w:position w:val="-24"/>
        </w:rPr>
        <w:drawing>
          <wp:inline distT="0" distB="0" distL="114300" distR="114300">
            <wp:extent cx="1038860" cy="343535"/>
            <wp:effectExtent l="0" t="0" r="0" b="18415"/>
            <wp:docPr id="1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7"/>
                    <pic:cNvPicPr>
                      <a:picLocks noChangeAspect="1"/>
                    </pic:cNvPicPr>
                  </pic:nvPicPr>
                  <pic:blipFill>
                    <a:blip r:embed="rId18"/>
                    <a:stretch>
                      <a:fillRect/>
                    </a:stretch>
                  </pic:blipFill>
                  <pic:spPr>
                    <a:xfrm>
                      <a:off x="0" y="0"/>
                      <a:ext cx="1038860" cy="343535"/>
                    </a:xfrm>
                    <a:prstGeom prst="rect">
                      <a:avLst/>
                    </a:prstGeom>
                    <a:noFill/>
                    <a:ln>
                      <a:noFill/>
                    </a:ln>
                  </pic:spPr>
                </pic:pic>
              </a:graphicData>
            </a:graphic>
          </wp:inline>
        </w:drawing>
      </w:r>
      <w:r>
        <w:rPr>
          <w:i/>
          <w:lang w:val="en-US"/>
        </w:rPr>
        <w:t xml:space="preserve"> for PUSCH with UL-SCH data and </w:t>
      </w:r>
      <w:r>
        <w:rPr>
          <w:b/>
          <w:i/>
          <w:position w:val="-12"/>
        </w:rPr>
        <w:drawing>
          <wp:inline distT="0" distB="0" distL="114300" distR="114300">
            <wp:extent cx="1221740" cy="255905"/>
            <wp:effectExtent l="0" t="0" r="0" b="12065"/>
            <wp:docPr id="1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8"/>
                    <pic:cNvPicPr>
                      <a:picLocks noChangeAspect="1"/>
                    </pic:cNvPicPr>
                  </pic:nvPicPr>
                  <pic:blipFill>
                    <a:blip r:embed="rId19"/>
                    <a:stretch>
                      <a:fillRect/>
                    </a:stretch>
                  </pic:blipFill>
                  <pic:spPr>
                    <a:xfrm>
                      <a:off x="0" y="0"/>
                      <a:ext cx="1221740" cy="255905"/>
                    </a:xfrm>
                    <a:prstGeom prst="rect">
                      <a:avLst/>
                    </a:prstGeom>
                    <a:noFill/>
                    <a:ln>
                      <a:noFill/>
                    </a:ln>
                  </pic:spPr>
                </pic:pic>
              </a:graphicData>
            </a:graphic>
          </wp:inline>
        </w:drawing>
      </w:r>
      <w:r>
        <w:rPr>
          <w:i/>
          <w:lang w:val="en-US"/>
        </w:rPr>
        <w:t xml:space="preserve"> </w:t>
      </w:r>
      <w:r>
        <w:rPr>
          <w:rFonts w:hint="eastAsia"/>
          <w:i/>
          <w:lang w:eastAsia="zh-CN"/>
        </w:rPr>
        <w:t>for</w:t>
      </w:r>
      <w:r>
        <w:rPr>
          <w:i/>
          <w:lang w:eastAsia="zh-CN"/>
        </w:rPr>
        <w:t xml:space="preserve"> C</w:t>
      </w:r>
      <w:r>
        <w:rPr>
          <w:i/>
          <w:lang w:val="en-US" w:eastAsia="zh-CN"/>
        </w:rPr>
        <w:t>S</w:t>
      </w:r>
      <w:r>
        <w:rPr>
          <w:i/>
          <w:lang w:eastAsia="zh-CN"/>
        </w:rPr>
        <w:t xml:space="preserve">I </w:t>
      </w:r>
      <w:r>
        <w:rPr>
          <w:i/>
          <w:lang w:val="en-US" w:eastAsia="zh-CN"/>
        </w:rPr>
        <w:t>transmission in</w:t>
      </w:r>
      <w:r>
        <w:rPr>
          <w:i/>
          <w:lang w:eastAsia="zh-CN"/>
        </w:rPr>
        <w:t xml:space="preserve"> a PUSCH without UL-SCH data</w:t>
      </w:r>
      <w:r>
        <w:rPr>
          <w:rFonts w:eastAsia="MS Mincho"/>
          <w:i/>
          <w:lang w:val="en-US"/>
        </w:rPr>
        <w:t>, where</w:t>
      </w:r>
    </w:p>
    <w:p>
      <w:pPr>
        <w:pStyle w:val="89"/>
        <w:rPr>
          <w:rFonts w:hint="eastAsia"/>
          <w:iCs/>
          <w:position w:val="-6"/>
          <w:lang w:val="en-US" w:eastAsia="zh-CN"/>
        </w:rPr>
      </w:pPr>
      <w:r>
        <w:rPr>
          <w:i/>
        </w:rPr>
        <w:t>-</w:t>
      </w:r>
      <w:r>
        <w:rPr>
          <w:i/>
        </w:rPr>
        <w:tab/>
      </w:r>
      <w:r>
        <w:rPr>
          <w:i/>
          <w:position w:val="-6"/>
        </w:rPr>
        <w:drawing>
          <wp:inline distT="0" distB="0" distL="114300" distR="114300">
            <wp:extent cx="182880" cy="139065"/>
            <wp:effectExtent l="0" t="0" r="0" b="13970"/>
            <wp:docPr id="4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9"/>
                    <pic:cNvPicPr>
                      <a:picLocks noChangeAspect="1"/>
                    </pic:cNvPicPr>
                  </pic:nvPicPr>
                  <pic:blipFill>
                    <a:blip r:embed="rId20"/>
                    <a:stretch>
                      <a:fillRect/>
                    </a:stretch>
                  </pic:blipFill>
                  <pic:spPr>
                    <a:xfrm>
                      <a:off x="0" y="0"/>
                      <a:ext cx="182880" cy="139065"/>
                    </a:xfrm>
                    <a:prstGeom prst="rect">
                      <a:avLst/>
                    </a:prstGeom>
                    <a:noFill/>
                    <a:ln>
                      <a:noFill/>
                    </a:ln>
                  </pic:spPr>
                </pic:pic>
              </a:graphicData>
            </a:graphic>
          </wp:inline>
        </w:drawing>
      </w:r>
      <w:r>
        <w:rPr>
          <w:i/>
        </w:rPr>
        <w:t xml:space="preserve"> is a </w:t>
      </w:r>
      <w:r>
        <w:rPr>
          <w:rFonts w:hint="eastAsia"/>
          <w:i/>
          <w:lang w:eastAsia="zh-CN"/>
        </w:rPr>
        <w:t xml:space="preserve">number of </w:t>
      </w:r>
      <w:r>
        <w:rPr>
          <w:i/>
          <w:lang w:eastAsia="zh-CN"/>
        </w:rPr>
        <w:t xml:space="preserve">transmitted </w:t>
      </w:r>
      <w:r>
        <w:rPr>
          <w:rFonts w:hint="eastAsia"/>
          <w:i/>
          <w:lang w:eastAsia="zh-CN"/>
        </w:rPr>
        <w:t xml:space="preserve">code blocks, </w:t>
      </w:r>
      <w:r>
        <w:rPr>
          <w:i/>
          <w:position w:val="-10"/>
        </w:rPr>
        <w:drawing>
          <wp:inline distT="0" distB="0" distL="114300" distR="114300">
            <wp:extent cx="182880" cy="182880"/>
            <wp:effectExtent l="0" t="0" r="7620" b="6350"/>
            <wp:docPr id="2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0"/>
                    <pic:cNvPicPr>
                      <a:picLocks noChangeAspect="1"/>
                    </pic:cNvPicPr>
                  </pic:nvPicPr>
                  <pic:blipFill>
                    <a:blip r:embed="rId21"/>
                    <a:stretch>
                      <a:fillRect/>
                    </a:stretch>
                  </pic:blipFill>
                  <pic:spPr>
                    <a:xfrm>
                      <a:off x="0" y="0"/>
                      <a:ext cx="182880" cy="182880"/>
                    </a:xfrm>
                    <a:prstGeom prst="rect">
                      <a:avLst/>
                    </a:prstGeom>
                    <a:noFill/>
                    <a:ln>
                      <a:noFill/>
                    </a:ln>
                  </pic:spPr>
                </pic:pic>
              </a:graphicData>
            </a:graphic>
          </wp:inline>
        </w:drawing>
      </w:r>
      <w:r>
        <w:rPr>
          <w:rFonts w:hint="eastAsia"/>
          <w:i/>
          <w:lang w:eastAsia="zh-CN"/>
        </w:rPr>
        <w:t xml:space="preserve"> is </w:t>
      </w:r>
      <w:r>
        <w:rPr>
          <w:i/>
          <w:lang w:eastAsia="zh-CN"/>
        </w:rPr>
        <w:t>a</w:t>
      </w:r>
      <w:r>
        <w:rPr>
          <w:rFonts w:hint="eastAsia"/>
          <w:i/>
          <w:lang w:eastAsia="zh-CN"/>
        </w:rPr>
        <w:t xml:space="preserve"> size for code block </w:t>
      </w:r>
      <w:r>
        <w:rPr>
          <w:i/>
          <w:iCs w:val="0"/>
          <w:position w:val="-4"/>
        </w:rPr>
        <w:drawing>
          <wp:inline distT="0" distB="0" distL="114300" distR="114300">
            <wp:extent cx="124460" cy="124460"/>
            <wp:effectExtent l="0" t="0" r="8890" b="6350"/>
            <wp:docPr id="3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1"/>
                    <pic:cNvPicPr>
                      <a:picLocks noChangeAspect="1"/>
                    </pic:cNvPicPr>
                  </pic:nvPicPr>
                  <pic:blipFill>
                    <a:blip r:embed="rId22"/>
                    <a:stretch>
                      <a:fillRect/>
                    </a:stretch>
                  </pic:blipFill>
                  <pic:spPr>
                    <a:xfrm>
                      <a:off x="0" y="0"/>
                      <a:ext cx="124460" cy="124460"/>
                    </a:xfrm>
                    <a:prstGeom prst="rect">
                      <a:avLst/>
                    </a:prstGeom>
                    <a:noFill/>
                    <a:ln>
                      <a:noFill/>
                    </a:ln>
                  </pic:spPr>
                </pic:pic>
              </a:graphicData>
            </a:graphic>
          </wp:inline>
        </w:drawing>
      </w:r>
      <w:r>
        <w:rPr>
          <w:rFonts w:hint="eastAsia"/>
          <w:i/>
          <w:lang w:eastAsia="zh-CN"/>
        </w:rPr>
        <w:t xml:space="preserve">, </w:t>
      </w:r>
      <w:r>
        <w:rPr>
          <w:i/>
        </w:rPr>
        <w:t xml:space="preserve">and </w:t>
      </w:r>
      <w:r>
        <w:rPr>
          <w:i/>
          <w:position w:val="-10"/>
        </w:rPr>
        <w:drawing>
          <wp:inline distT="0" distB="0" distL="114300" distR="114300">
            <wp:extent cx="278130" cy="182880"/>
            <wp:effectExtent l="0" t="0" r="0" b="6350"/>
            <wp:docPr id="3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2"/>
                    <pic:cNvPicPr>
                      <a:picLocks noChangeAspect="1"/>
                    </pic:cNvPicPr>
                  </pic:nvPicPr>
                  <pic:blipFill>
                    <a:blip r:embed="rId23"/>
                    <a:stretch>
                      <a:fillRect/>
                    </a:stretch>
                  </pic:blipFill>
                  <pic:spPr>
                    <a:xfrm>
                      <a:off x="0" y="0"/>
                      <a:ext cx="278130" cy="182880"/>
                    </a:xfrm>
                    <a:prstGeom prst="rect">
                      <a:avLst/>
                    </a:prstGeom>
                    <a:noFill/>
                    <a:ln>
                      <a:noFill/>
                    </a:ln>
                  </pic:spPr>
                </pic:pic>
              </a:graphicData>
            </a:graphic>
          </wp:inline>
        </w:drawing>
      </w:r>
      <w:r>
        <w:rPr>
          <w:i/>
        </w:rPr>
        <w:t xml:space="preserve"> is a number of resource elements determined as </w:t>
      </w:r>
      <w:r>
        <w:rPr>
          <w:i/>
          <w:position w:val="-26"/>
        </w:rPr>
        <w:drawing>
          <wp:inline distT="0" distB="0" distL="114300" distR="114300">
            <wp:extent cx="1924050" cy="424180"/>
            <wp:effectExtent l="0" t="0" r="0" b="14605"/>
            <wp:docPr id="3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3"/>
                    <pic:cNvPicPr>
                      <a:picLocks noChangeAspect="1"/>
                    </pic:cNvPicPr>
                  </pic:nvPicPr>
                  <pic:blipFill>
                    <a:blip r:embed="rId24"/>
                    <a:stretch>
                      <a:fillRect/>
                    </a:stretch>
                  </pic:blipFill>
                  <pic:spPr>
                    <a:xfrm>
                      <a:off x="0" y="0"/>
                      <a:ext cx="1924050" cy="424180"/>
                    </a:xfrm>
                    <a:prstGeom prst="rect">
                      <a:avLst/>
                    </a:prstGeom>
                    <a:noFill/>
                    <a:ln>
                      <a:noFill/>
                    </a:ln>
                  </pic:spPr>
                </pic:pic>
              </a:graphicData>
            </a:graphic>
          </wp:inline>
        </w:drawing>
      </w:r>
      <w:r>
        <w:rPr>
          <w:i/>
        </w:rPr>
        <w:t xml:space="preserve">, </w:t>
      </w:r>
      <w:r>
        <w:rPr>
          <w:rFonts w:hint="eastAsia"/>
          <w:i/>
        </w:rPr>
        <w:t>where</w:t>
      </w:r>
      <w:r>
        <w:rPr>
          <w:i/>
          <w:lang w:val="en-US"/>
        </w:rPr>
        <w:t xml:space="preserve"> </w:t>
      </w:r>
      <w:r>
        <w:rPr>
          <w:i/>
          <w:position w:val="-12"/>
        </w:rPr>
        <w:drawing>
          <wp:inline distT="0" distB="0" distL="114300" distR="114300">
            <wp:extent cx="636270" cy="226695"/>
            <wp:effectExtent l="0" t="0" r="11430" b="1905"/>
            <wp:docPr id="2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4"/>
                    <pic:cNvPicPr>
                      <a:picLocks noChangeAspect="1"/>
                    </pic:cNvPicPr>
                  </pic:nvPicPr>
                  <pic:blipFill>
                    <a:blip r:embed="rId25"/>
                    <a:stretch>
                      <a:fillRect/>
                    </a:stretch>
                  </pic:blipFill>
                  <pic:spPr>
                    <a:xfrm>
                      <a:off x="0" y="0"/>
                      <a:ext cx="636270" cy="226695"/>
                    </a:xfrm>
                    <a:prstGeom prst="rect">
                      <a:avLst/>
                    </a:prstGeom>
                    <a:noFill/>
                    <a:ln>
                      <a:noFill/>
                    </a:ln>
                  </pic:spPr>
                </pic:pic>
              </a:graphicData>
            </a:graphic>
          </wp:inline>
        </w:drawing>
      </w:r>
      <w:r>
        <w:rPr>
          <w:i/>
          <w:lang w:val="en-US"/>
        </w:rPr>
        <w:t xml:space="preserve"> is a number of symbols </w:t>
      </w:r>
      <w:r>
        <w:rPr>
          <w:i/>
        </w:rPr>
        <w:t xml:space="preserve">for </w:t>
      </w:r>
      <w:r>
        <w:rPr>
          <w:i/>
          <w:lang w:val="en-US"/>
        </w:rPr>
        <w:t>PUSCH transmission occasion</w:t>
      </w:r>
      <w:r>
        <w:rPr>
          <w:i/>
        </w:rPr>
        <w:t xml:space="preserve"> </w:t>
      </w:r>
      <w:r>
        <w:rPr>
          <w:i/>
          <w:position w:val="-6"/>
        </w:rPr>
        <w:drawing>
          <wp:inline distT="0" distB="0" distL="114300" distR="114300">
            <wp:extent cx="95250" cy="182880"/>
            <wp:effectExtent l="0" t="0" r="0" b="5080"/>
            <wp:docPr id="2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5"/>
                    <pic:cNvPicPr>
                      <a:picLocks noChangeAspect="1"/>
                    </pic:cNvPicPr>
                  </pic:nvPicPr>
                  <pic:blipFill>
                    <a:blip r:embed="rId26"/>
                    <a:stretch>
                      <a:fillRect/>
                    </a:stretch>
                  </pic:blipFill>
                  <pic:spPr>
                    <a:xfrm>
                      <a:off x="0" y="0"/>
                      <a:ext cx="95250" cy="182880"/>
                    </a:xfrm>
                    <a:prstGeom prst="rect">
                      <a:avLst/>
                    </a:prstGeom>
                    <a:noFill/>
                    <a:ln>
                      <a:noFill/>
                    </a:ln>
                  </pic:spPr>
                </pic:pic>
              </a:graphicData>
            </a:graphic>
          </wp:inline>
        </w:drawing>
      </w:r>
      <w:r>
        <w:rPr>
          <w:i/>
        </w:rPr>
        <w:t xml:space="preserve"> </w:t>
      </w:r>
      <w:r>
        <w:rPr>
          <w:i/>
          <w:lang w:val="en-US"/>
        </w:rPr>
        <w:t>on active</w:t>
      </w:r>
      <w:r>
        <w:rPr>
          <w:i/>
        </w:rPr>
        <w:t xml:space="preserve"> </w:t>
      </w:r>
      <w:r>
        <w:rPr>
          <w:i/>
          <w:lang w:val="en-US"/>
        </w:rPr>
        <w:t xml:space="preserve">UL BWP </w:t>
      </w:r>
      <w:r>
        <w:rPr>
          <w:i/>
          <w:iCs w:val="0"/>
          <w:position w:val="-6"/>
        </w:rPr>
        <w:drawing>
          <wp:inline distT="0" distB="0" distL="114300" distR="114300">
            <wp:extent cx="95250" cy="182880"/>
            <wp:effectExtent l="0" t="0" r="0" b="5080"/>
            <wp:docPr id="3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6"/>
                    <pic:cNvPicPr>
                      <a:picLocks noChangeAspect="1"/>
                    </pic:cNvPicPr>
                  </pic:nvPicPr>
                  <pic:blipFill>
                    <a:blip r:embed="rId13"/>
                    <a:stretch>
                      <a:fillRect/>
                    </a:stretch>
                  </pic:blipFill>
                  <pic:spPr>
                    <a:xfrm>
                      <a:off x="0" y="0"/>
                      <a:ext cx="95250" cy="182880"/>
                    </a:xfrm>
                    <a:prstGeom prst="rect">
                      <a:avLst/>
                    </a:prstGeom>
                    <a:noFill/>
                    <a:ln>
                      <a:noFill/>
                    </a:ln>
                  </pic:spPr>
                </pic:pic>
              </a:graphicData>
            </a:graphic>
          </wp:inline>
        </w:drawing>
      </w:r>
      <w:r>
        <w:rPr>
          <w:i/>
          <w:iCs w:val="0"/>
          <w:lang w:val="en-US"/>
        </w:rPr>
        <w:t xml:space="preserve"> </w:t>
      </w:r>
      <w:r>
        <w:rPr>
          <w:i/>
          <w:lang w:val="en-US"/>
        </w:rPr>
        <w:t xml:space="preserve">of carrier </w:t>
      </w:r>
      <w:r>
        <w:rPr>
          <w:i/>
          <w:iCs w:val="0"/>
          <w:position w:val="-10"/>
        </w:rPr>
        <w:drawing>
          <wp:inline distT="0" distB="0" distL="114300" distR="114300">
            <wp:extent cx="182880" cy="182880"/>
            <wp:effectExtent l="0" t="0" r="0" b="6350"/>
            <wp:docPr id="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7"/>
                    <pic:cNvPicPr>
                      <a:picLocks noChangeAspect="1"/>
                    </pic:cNvPicPr>
                  </pic:nvPicPr>
                  <pic:blipFill>
                    <a:blip r:embed="rId14"/>
                    <a:stretch>
                      <a:fillRect/>
                    </a:stretch>
                  </pic:blipFill>
                  <pic:spPr>
                    <a:xfrm>
                      <a:off x="0" y="0"/>
                      <a:ext cx="182880" cy="182880"/>
                    </a:xfrm>
                    <a:prstGeom prst="rect">
                      <a:avLst/>
                    </a:prstGeom>
                    <a:noFill/>
                    <a:ln>
                      <a:noFill/>
                    </a:ln>
                  </pic:spPr>
                </pic:pic>
              </a:graphicData>
            </a:graphic>
          </wp:inline>
        </w:drawing>
      </w:r>
      <w:r>
        <w:rPr>
          <w:i/>
          <w:iCs w:val="0"/>
          <w:lang w:val="en-US"/>
        </w:rPr>
        <w:t xml:space="preserve"> of</w:t>
      </w:r>
      <w:r>
        <w:rPr>
          <w:i/>
        </w:rPr>
        <w:t xml:space="preserve"> serving cell </w:t>
      </w:r>
      <w:r>
        <w:rPr>
          <w:i/>
          <w:iCs w:val="0"/>
          <w:position w:val="-6"/>
        </w:rPr>
        <w:drawing>
          <wp:inline distT="0" distB="0" distL="114300" distR="114300">
            <wp:extent cx="124460" cy="160655"/>
            <wp:effectExtent l="0" t="0" r="8890" b="12700"/>
            <wp:docPr id="3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8"/>
                    <pic:cNvPicPr>
                      <a:picLocks noChangeAspect="1"/>
                    </pic:cNvPicPr>
                  </pic:nvPicPr>
                  <pic:blipFill>
                    <a:blip r:embed="rId15"/>
                    <a:stretch>
                      <a:fillRect/>
                    </a:stretch>
                  </pic:blipFill>
                  <pic:spPr>
                    <a:xfrm>
                      <a:off x="0" y="0"/>
                      <a:ext cx="124460" cy="160655"/>
                    </a:xfrm>
                    <a:prstGeom prst="rect">
                      <a:avLst/>
                    </a:prstGeom>
                    <a:noFill/>
                    <a:ln>
                      <a:noFill/>
                    </a:ln>
                  </pic:spPr>
                </pic:pic>
              </a:graphicData>
            </a:graphic>
          </wp:inline>
        </w:drawing>
      </w:r>
      <w:r>
        <w:rPr>
          <w:i/>
        </w:rPr>
        <w:t>,</w:t>
      </w:r>
      <w:r>
        <w:rPr>
          <w:rFonts w:hint="eastAsia"/>
          <w:i/>
        </w:rPr>
        <w:t xml:space="preserve"> </w:t>
      </w:r>
      <w:r>
        <w:rPr>
          <w:i/>
          <w:position w:val="-12"/>
        </w:rPr>
        <w:drawing>
          <wp:inline distT="0" distB="0" distL="114300" distR="114300">
            <wp:extent cx="636270" cy="234315"/>
            <wp:effectExtent l="0" t="0" r="0" b="14605"/>
            <wp:docPr id="1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9"/>
                    <pic:cNvPicPr>
                      <a:picLocks noChangeAspect="1"/>
                    </pic:cNvPicPr>
                  </pic:nvPicPr>
                  <pic:blipFill>
                    <a:blip r:embed="rId27"/>
                    <a:stretch>
                      <a:fillRect/>
                    </a:stretch>
                  </pic:blipFill>
                  <pic:spPr>
                    <a:xfrm>
                      <a:off x="0" y="0"/>
                      <a:ext cx="636270" cy="234315"/>
                    </a:xfrm>
                    <a:prstGeom prst="rect">
                      <a:avLst/>
                    </a:prstGeom>
                    <a:noFill/>
                    <a:ln>
                      <a:noFill/>
                    </a:ln>
                  </pic:spPr>
                </pic:pic>
              </a:graphicData>
            </a:graphic>
          </wp:inline>
        </w:drawing>
      </w:r>
      <w:r>
        <w:rPr>
          <w:i/>
        </w:rPr>
        <w:t xml:space="preserve"> is a number of subcarriers excluding DM-RS subcarriers and phase-tracking RS samples [4, TS 38.211] in PUSCH symbol </w:t>
      </w:r>
      <w:r>
        <w:rPr>
          <w:i/>
          <w:iCs w:val="0"/>
          <w:position w:val="-10"/>
        </w:rPr>
        <w:drawing>
          <wp:inline distT="0" distB="0" distL="114300" distR="114300">
            <wp:extent cx="95250" cy="182880"/>
            <wp:effectExtent l="0" t="0" r="0" b="5080"/>
            <wp:docPr id="3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50"/>
                    <pic:cNvPicPr>
                      <a:picLocks noChangeAspect="1"/>
                    </pic:cNvPicPr>
                  </pic:nvPicPr>
                  <pic:blipFill>
                    <a:blip r:embed="rId28"/>
                    <a:stretch>
                      <a:fillRect/>
                    </a:stretch>
                  </pic:blipFill>
                  <pic:spPr>
                    <a:xfrm>
                      <a:off x="0" y="0"/>
                      <a:ext cx="95250" cy="182880"/>
                    </a:xfrm>
                    <a:prstGeom prst="rect">
                      <a:avLst/>
                    </a:prstGeom>
                    <a:noFill/>
                    <a:ln>
                      <a:noFill/>
                    </a:ln>
                  </pic:spPr>
                </pic:pic>
              </a:graphicData>
            </a:graphic>
          </wp:inline>
        </w:drawing>
      </w:r>
      <w:r>
        <w:rPr>
          <w:i/>
          <w:iCs w:val="0"/>
          <w:position w:val="-10"/>
        </w:rPr>
        <w:t xml:space="preserve"> </w:t>
      </w:r>
      <w:r>
        <w:rPr>
          <w:i/>
        </w:rPr>
        <w:t xml:space="preserve">and assuming no segmentation for a nominal repetition in case the PUSCH transmission is with repetition Type B, </w:t>
      </w:r>
      <w:r>
        <w:rPr>
          <w:i/>
          <w:position w:val="-12"/>
        </w:rPr>
        <w:drawing>
          <wp:inline distT="0" distB="0" distL="114300" distR="114300">
            <wp:extent cx="1009650" cy="234315"/>
            <wp:effectExtent l="0" t="0" r="0" b="14605"/>
            <wp:docPr id="3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51"/>
                    <pic:cNvPicPr>
                      <a:picLocks noChangeAspect="1"/>
                    </pic:cNvPicPr>
                  </pic:nvPicPr>
                  <pic:blipFill>
                    <a:blip r:embed="rId29"/>
                    <a:stretch>
                      <a:fillRect/>
                    </a:stretch>
                  </pic:blipFill>
                  <pic:spPr>
                    <a:xfrm>
                      <a:off x="0" y="0"/>
                      <a:ext cx="1009650" cy="234315"/>
                    </a:xfrm>
                    <a:prstGeom prst="rect">
                      <a:avLst/>
                    </a:prstGeom>
                    <a:noFill/>
                    <a:ln>
                      <a:noFill/>
                    </a:ln>
                  </pic:spPr>
                </pic:pic>
              </a:graphicData>
            </a:graphic>
          </wp:inline>
        </w:drawing>
      </w:r>
      <w:r>
        <w:rPr>
          <w:i/>
        </w:rPr>
        <w:t xml:space="preserve">, </w:t>
      </w:r>
      <w:r>
        <w:rPr>
          <w:i/>
          <w:lang w:val="en-US"/>
        </w:rPr>
        <w:t xml:space="preserve">and </w:t>
      </w:r>
      <w:r>
        <w:rPr>
          <w:i/>
          <w:position w:val="-6"/>
        </w:rPr>
        <w:drawing>
          <wp:inline distT="0" distB="0" distL="114300" distR="114300">
            <wp:extent cx="182880" cy="139065"/>
            <wp:effectExtent l="0" t="0" r="0" b="13970"/>
            <wp:docPr id="29"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2"/>
                    <pic:cNvPicPr>
                      <a:picLocks noChangeAspect="1"/>
                    </pic:cNvPicPr>
                  </pic:nvPicPr>
                  <pic:blipFill>
                    <a:blip r:embed="rId20"/>
                    <a:stretch>
                      <a:fillRect/>
                    </a:stretch>
                  </pic:blipFill>
                  <pic:spPr>
                    <a:xfrm>
                      <a:off x="0" y="0"/>
                      <a:ext cx="182880" cy="139065"/>
                    </a:xfrm>
                    <a:prstGeom prst="rect">
                      <a:avLst/>
                    </a:prstGeom>
                    <a:noFill/>
                    <a:ln>
                      <a:noFill/>
                    </a:ln>
                  </pic:spPr>
                </pic:pic>
              </a:graphicData>
            </a:graphic>
          </wp:inline>
        </w:drawing>
      </w:r>
      <w:r>
        <w:rPr>
          <w:rFonts w:hint="eastAsia"/>
          <w:i/>
          <w:lang w:eastAsia="zh-CN"/>
        </w:rPr>
        <w:t xml:space="preserve">, </w:t>
      </w:r>
      <w:r>
        <w:rPr>
          <w:i/>
          <w:position w:val="-10"/>
        </w:rPr>
        <w:drawing>
          <wp:inline distT="0" distB="0" distL="114300" distR="114300">
            <wp:extent cx="182880" cy="182880"/>
            <wp:effectExtent l="0" t="0" r="7620" b="6350"/>
            <wp:docPr id="4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3"/>
                    <pic:cNvPicPr>
                      <a:picLocks noChangeAspect="1"/>
                    </pic:cNvPicPr>
                  </pic:nvPicPr>
                  <pic:blipFill>
                    <a:blip r:embed="rId30"/>
                    <a:stretch>
                      <a:fillRect/>
                    </a:stretch>
                  </pic:blipFill>
                  <pic:spPr>
                    <a:xfrm>
                      <a:off x="0" y="0"/>
                      <a:ext cx="182880" cy="182880"/>
                    </a:xfrm>
                    <a:prstGeom prst="rect">
                      <a:avLst/>
                    </a:prstGeom>
                    <a:noFill/>
                    <a:ln>
                      <a:noFill/>
                    </a:ln>
                  </pic:spPr>
                </pic:pic>
              </a:graphicData>
            </a:graphic>
          </wp:inline>
        </w:drawing>
      </w:r>
      <w:r>
        <w:rPr>
          <w:rFonts w:hint="eastAsia"/>
          <w:i/>
        </w:rPr>
        <w:t xml:space="preserve"> </w:t>
      </w:r>
      <w:r>
        <w:rPr>
          <w:i/>
        </w:rPr>
        <w:t>are</w:t>
      </w:r>
      <w:r>
        <w:rPr>
          <w:rFonts w:hint="eastAsia"/>
          <w:i/>
        </w:rPr>
        <w:t xml:space="preserve"> defined in [</w:t>
      </w:r>
      <w:r>
        <w:rPr>
          <w:i/>
          <w:lang w:val="en-US"/>
        </w:rPr>
        <w:t>5</w:t>
      </w:r>
      <w:r>
        <w:rPr>
          <w:i/>
        </w:rPr>
        <w:t>, TS 38.</w:t>
      </w:r>
      <w:r>
        <w:rPr>
          <w:i/>
          <w:lang w:val="en-US"/>
        </w:rPr>
        <w:t>212</w:t>
      </w:r>
      <w:r>
        <w:rPr>
          <w:rFonts w:hint="eastAsia"/>
          <w:i/>
        </w:rPr>
        <w:t>]</w:t>
      </w:r>
    </w:p>
    <w:p>
      <w:pPr>
        <w:rPr>
          <w:rFonts w:hint="eastAsia"/>
          <w:iCs/>
          <w:position w:val="-6"/>
          <w:lang w:val="en-US" w:eastAsia="zh-CN"/>
        </w:rPr>
      </w:pPr>
      <w:r>
        <w:rPr>
          <w:rFonts w:hint="eastAsia"/>
          <w:iCs/>
          <w:position w:val="-6"/>
          <w:lang w:val="en-US" w:eastAsia="zh-CN"/>
        </w:rPr>
        <w:t xml:space="preserve">When TB processing over multiple slots is enabled and the TBS is determination based on multiple slots for TB processing. Similarly, the PUSCH transmission power determination should also be based on multiple slots and the </w:t>
      </w:r>
      <w:r>
        <w:rPr>
          <w:rFonts w:hint="eastAsia"/>
          <w:i/>
          <w:iCs w:val="0"/>
          <w:position w:val="-6"/>
          <w:lang w:val="en-US" w:eastAsia="zh-CN"/>
        </w:rPr>
        <w:t>N</w:t>
      </w:r>
      <w:r>
        <w:rPr>
          <w:rFonts w:hint="eastAsia"/>
          <w:i/>
          <w:iCs w:val="0"/>
          <w:position w:val="-6"/>
          <w:vertAlign w:val="subscript"/>
          <w:lang w:val="en-US" w:eastAsia="zh-CN"/>
        </w:rPr>
        <w:t>RE</w:t>
      </w:r>
      <w:r>
        <w:rPr>
          <w:rFonts w:hint="eastAsia"/>
          <w:i/>
          <w:iCs w:val="0"/>
          <w:position w:val="-6"/>
          <w:lang w:val="en-US" w:eastAsia="zh-CN"/>
        </w:rPr>
        <w:t xml:space="preserve"> </w:t>
      </w:r>
      <w:r>
        <w:rPr>
          <w:rFonts w:hint="eastAsia"/>
          <w:iCs/>
          <w:position w:val="-6"/>
          <w:lang w:val="en-US" w:eastAsia="zh-CN"/>
        </w:rPr>
        <w:t xml:space="preserve">is the total REs within multiple slots for TB processing excluding the overhead of reference signals. </w:t>
      </w:r>
    </w:p>
    <w:p>
      <w:pPr>
        <w:spacing w:after="0"/>
        <w:rPr>
          <w:rFonts w:hint="eastAsia"/>
          <w:b/>
          <w:bCs/>
          <w:i/>
          <w:iCs/>
          <w:lang w:val="en-US" w:eastAsia="zh-CN"/>
        </w:rPr>
      </w:pPr>
      <w:r>
        <w:rPr>
          <w:rFonts w:hint="eastAsia"/>
          <w:b/>
          <w:bCs/>
          <w:i/>
          <w:iCs/>
          <w:lang w:val="en-US" w:eastAsia="zh-CN"/>
        </w:rPr>
        <w:t xml:space="preserve">Proposal 7: </w:t>
      </w:r>
      <w:r>
        <w:rPr>
          <w:rFonts w:hint="eastAsia"/>
          <w:b w:val="0"/>
          <w:bCs w:val="0"/>
          <w:i/>
          <w:iCs/>
          <w:lang w:val="en-US" w:eastAsia="zh-CN"/>
        </w:rPr>
        <w:t>For TB processing over multiple slots, the transmission power determination should be based on the multiple slots for TB processing.</w:t>
      </w:r>
      <w:r>
        <w:rPr>
          <w:rFonts w:hint="eastAsia"/>
          <w:b/>
          <w:bCs/>
          <w:i/>
          <w:iCs/>
          <w:lang w:val="en-US" w:eastAsia="zh-CN"/>
        </w:rPr>
        <w:t xml:space="preserve">  </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proposals:</w:t>
      </w:r>
    </w:p>
    <w:p>
      <w:pPr>
        <w:rPr>
          <w:rFonts w:hint="eastAsia"/>
          <w:i/>
          <w:iCs/>
          <w:lang w:val="en-US" w:eastAsia="zh-CN"/>
        </w:rPr>
      </w:pPr>
      <w:r>
        <w:rPr>
          <w:rFonts w:hint="eastAsia"/>
          <w:b/>
          <w:bCs/>
          <w:i/>
          <w:iCs/>
          <w:lang w:val="en-US" w:eastAsia="zh-CN"/>
        </w:rPr>
        <w:t xml:space="preserve">Proposal 1: </w:t>
      </w:r>
      <w:r>
        <w:rPr>
          <w:rFonts w:hint="eastAsia"/>
          <w:b w:val="0"/>
          <w:bCs w:val="0"/>
          <w:i/>
          <w:iCs/>
          <w:lang w:val="en-US" w:eastAsia="zh-CN"/>
        </w:rPr>
        <w:t xml:space="preserve">For </w:t>
      </w:r>
      <w:r>
        <w:rPr>
          <w:rFonts w:hint="eastAsia"/>
          <w:i/>
          <w:iCs/>
          <w:lang w:val="en-US" w:eastAsia="zh-CN"/>
        </w:rPr>
        <w:t xml:space="preserve">time domain resource determination of </w:t>
      </w:r>
      <w:r>
        <w:rPr>
          <w:rFonts w:hint="eastAsia" w:cs="Times New Roman"/>
          <w:i/>
          <w:iCs/>
          <w:sz w:val="20"/>
          <w:szCs w:val="20"/>
          <w:lang w:val="en-US" w:eastAsia="zh-CN"/>
        </w:rPr>
        <w:t>TB processing over multiple slots,</w:t>
      </w:r>
      <w:r>
        <w:rPr>
          <w:rFonts w:hint="eastAsia"/>
          <w:i/>
          <w:iCs/>
          <w:lang w:val="en-US" w:eastAsia="zh-CN"/>
        </w:rPr>
        <w:t xml:space="preserve"> legacy rules specified for </w:t>
      </w:r>
      <w:r>
        <w:rPr>
          <w:rFonts w:hint="eastAsia" w:cs="Times New Roman"/>
          <w:i/>
          <w:iCs/>
          <w:sz w:val="20"/>
          <w:szCs w:val="20"/>
          <w:lang w:val="en-US" w:eastAsia="zh-CN"/>
        </w:rPr>
        <w:t>PUSCH repetition type A could be a starting point</w:t>
      </w:r>
      <w:r>
        <w:rPr>
          <w:rFonts w:hint="eastAsia"/>
          <w:i/>
          <w:iCs/>
          <w:lang w:val="en-US" w:eastAsia="zh-CN"/>
        </w:rPr>
        <w:t xml:space="preserve">. </w:t>
      </w:r>
    </w:p>
    <w:p>
      <w:pPr>
        <w:rPr>
          <w:rFonts w:hint="eastAsia"/>
          <w:b/>
          <w:bCs/>
          <w:i/>
          <w:iCs w:val="0"/>
          <w:position w:val="-6"/>
          <w:lang w:val="en-US" w:eastAsia="zh-CN"/>
        </w:rPr>
      </w:pPr>
      <w:r>
        <w:rPr>
          <w:rFonts w:hint="eastAsia"/>
          <w:b/>
          <w:bCs/>
          <w:i/>
          <w:iCs w:val="0"/>
          <w:position w:val="-6"/>
          <w:lang w:val="en-US" w:eastAsia="zh-CN"/>
        </w:rPr>
        <w:t xml:space="preserve">Proposal 2: </w:t>
      </w:r>
      <w:r>
        <w:rPr>
          <w:rFonts w:hint="eastAsia"/>
          <w:b w:val="0"/>
          <w:bCs w:val="0"/>
          <w:i/>
          <w:iCs w:val="0"/>
          <w:position w:val="-6"/>
          <w:lang w:val="en-US" w:eastAsia="zh-CN"/>
        </w:rPr>
        <w:t xml:space="preserve">For TB processing over multiple slots, the number of slots is jointly coded with the TDRA table. </w:t>
      </w:r>
    </w:p>
    <w:p>
      <w:pPr>
        <w:rPr>
          <w:rFonts w:hint="default"/>
          <w:b/>
          <w:bCs/>
          <w:i/>
          <w:position w:val="-6"/>
          <w:lang w:val="en-US" w:eastAsia="zh-CN"/>
        </w:rPr>
      </w:pPr>
      <w:r>
        <w:rPr>
          <w:rFonts w:hint="eastAsia"/>
          <w:b/>
          <w:bCs/>
          <w:i/>
          <w:iCs w:val="0"/>
          <w:position w:val="-6"/>
          <w:lang w:val="en-US" w:eastAsia="zh-CN"/>
        </w:rPr>
        <w:t xml:space="preserve">Proposal 3: </w:t>
      </w:r>
      <w:r>
        <w:rPr>
          <w:rFonts w:hint="eastAsia"/>
          <w:b w:val="0"/>
          <w:bCs w:val="0"/>
          <w:i/>
          <w:iCs w:val="0"/>
          <w:position w:val="-6"/>
          <w:lang w:val="en-US" w:eastAsia="zh-CN"/>
        </w:rPr>
        <w:t xml:space="preserve">For collision handling of TB processing over multiple slots, legacy collision handling rules for PUSCH repetition type A could be reused by replacing a repetition to a slot of the multiple slots for TB processing. </w:t>
      </w:r>
    </w:p>
    <w:p>
      <w:pPr>
        <w:rPr>
          <w:rFonts w:hint="default"/>
          <w:b w:val="0"/>
          <w:bCs w:val="0"/>
          <w:i/>
          <w:position w:val="-6"/>
          <w:lang w:val="en-US" w:eastAsia="zh-CN"/>
        </w:rPr>
      </w:pPr>
      <w:r>
        <w:rPr>
          <w:rFonts w:hint="eastAsia"/>
          <w:b/>
          <w:bCs/>
          <w:i/>
          <w:iCs w:val="0"/>
          <w:position w:val="-6"/>
          <w:lang w:val="en-US" w:eastAsia="zh-CN"/>
        </w:rPr>
        <w:t xml:space="preserve">Proposal 4: </w:t>
      </w:r>
      <w:r>
        <w:rPr>
          <w:rFonts w:hint="eastAsia"/>
          <w:b w:val="0"/>
          <w:bCs w:val="0"/>
          <w:i/>
          <w:iCs w:val="0"/>
          <w:position w:val="-6"/>
          <w:lang w:val="en-US" w:eastAsia="zh-CN"/>
        </w:rPr>
        <w:t xml:space="preserve">Discuss whether to support PUSCH repetition together with TB processing over multiple slots. </w:t>
      </w:r>
    </w:p>
    <w:p>
      <w:pPr>
        <w:rPr>
          <w:rFonts w:hint="eastAsia" w:cs="Times New Roman"/>
          <w:i/>
          <w:iCs/>
          <w:highlight w:val="none"/>
          <w:lang w:val="en-US" w:eastAsia="zh-CN"/>
        </w:rPr>
      </w:pPr>
      <w:r>
        <w:rPr>
          <w:rFonts w:hint="default" w:ascii="Times New Roman" w:hAnsi="Times New Roman" w:cs="Times New Roman"/>
          <w:b/>
          <w:bCs/>
          <w:i/>
          <w:iCs/>
          <w:highlight w:val="none"/>
          <w:lang w:val="en-US" w:eastAsia="zh-CN"/>
        </w:rPr>
        <w:t xml:space="preserve">Proposal </w:t>
      </w:r>
      <w:r>
        <w:rPr>
          <w:rFonts w:hint="eastAsia" w:cs="Times New Roman"/>
          <w:b/>
          <w:bCs/>
          <w:i/>
          <w:iCs/>
          <w:highlight w:val="none"/>
          <w:lang w:val="en-US" w:eastAsia="zh-CN"/>
        </w:rPr>
        <w:t>5</w:t>
      </w:r>
      <w:r>
        <w:rPr>
          <w:rFonts w:hint="default" w:ascii="Times New Roman" w:hAnsi="Times New Roman" w:cs="Times New Roman"/>
          <w:b/>
          <w:bCs/>
          <w:i/>
          <w:iCs/>
          <w:highlight w:val="none"/>
          <w:lang w:val="en-US" w:eastAsia="zh-CN"/>
        </w:rPr>
        <w:t xml:space="preserve">: </w:t>
      </w:r>
      <w:r>
        <w:rPr>
          <w:rFonts w:hint="eastAsia" w:cs="Times New Roman"/>
          <w:b w:val="0"/>
          <w:bCs w:val="0"/>
          <w:i/>
          <w:iCs/>
          <w:highlight w:val="none"/>
          <w:lang w:val="en-US" w:eastAsia="zh-CN"/>
        </w:rPr>
        <w:t xml:space="preserve">For TB processing over multiple slots, the maximum supporting </w:t>
      </w:r>
      <w:r>
        <w:rPr>
          <w:rFonts w:hint="default" w:ascii="Times New Roman" w:hAnsi="Times New Roman" w:cs="Times New Roman"/>
          <w:b w:val="0"/>
          <w:bCs w:val="0"/>
          <w:i/>
          <w:iCs/>
          <w:highlight w:val="none"/>
          <w:lang w:val="en-US" w:eastAsia="zh-CN"/>
        </w:rPr>
        <w:t>TBS</w:t>
      </w:r>
      <w:r>
        <w:rPr>
          <w:rFonts w:hint="eastAsia" w:cs="Times New Roman"/>
          <w:b w:val="0"/>
          <w:bCs w:val="0"/>
          <w:i/>
          <w:iCs/>
          <w:highlight w:val="none"/>
          <w:lang w:val="en-US" w:eastAsia="zh-CN"/>
        </w:rPr>
        <w:t xml:space="preserve"> per HARQ process should not</w:t>
      </w:r>
      <w:r>
        <w:rPr>
          <w:rFonts w:hint="default" w:ascii="Times New Roman" w:hAnsi="Times New Roman" w:cs="Times New Roman"/>
          <w:b w:val="0"/>
          <w:bCs w:val="0"/>
          <w:i/>
          <w:iCs/>
          <w:highlight w:val="none"/>
          <w:lang w:val="en-US" w:eastAsia="zh-CN"/>
        </w:rPr>
        <w:t xml:space="preserve"> </w:t>
      </w:r>
      <w:r>
        <w:rPr>
          <w:rFonts w:hint="eastAsia" w:cs="Times New Roman"/>
          <w:i/>
          <w:iCs/>
          <w:highlight w:val="none"/>
          <w:lang w:val="en-US" w:eastAsia="zh-CN"/>
        </w:rPr>
        <w:t xml:space="preserve"> exceed legacy TBS in Rel-15/16. </w:t>
      </w:r>
    </w:p>
    <w:p>
      <w:pPr>
        <w:numPr>
          <w:ilvl w:val="0"/>
          <w:numId w:val="12"/>
        </w:numPr>
        <w:ind w:left="840" w:hanging="420"/>
        <w:rPr>
          <w:rFonts w:hint="default" w:cs="Times New Roman"/>
          <w:i/>
          <w:iCs/>
          <w:highlight w:val="none"/>
          <w:lang w:val="en-US" w:eastAsia="zh-CN"/>
        </w:rPr>
      </w:pPr>
      <w:r>
        <w:rPr>
          <w:rFonts w:hint="eastAsia" w:cs="Times New Roman"/>
          <w:i/>
          <w:iCs/>
          <w:highlight w:val="none"/>
          <w:lang w:val="en-US" w:eastAsia="zh-CN"/>
        </w:rPr>
        <w:t xml:space="preserve"> FFS detailed method for TBS determination. </w:t>
      </w:r>
    </w:p>
    <w:p>
      <w:pPr>
        <w:pStyle w:val="152"/>
        <w:keepNext w:val="0"/>
        <w:keepLines w:val="0"/>
        <w:pageBreakBefore w:val="0"/>
        <w:widowControl/>
        <w:kinsoku/>
        <w:wordWrap/>
        <w:overflowPunct/>
        <w:topLinePunct w:val="0"/>
        <w:autoSpaceDE/>
        <w:autoSpaceDN/>
        <w:bidi w:val="0"/>
        <w:adjustRightInd/>
        <w:snapToGrid/>
        <w:spacing w:after="156" w:afterLines="50"/>
        <w:ind w:left="0" w:leftChars="0" w:firstLine="0" w:firstLineChars="0"/>
        <w:textAlignment w:val="auto"/>
        <w:outlineLvl w:val="9"/>
        <w:rPr>
          <w:rFonts w:hint="eastAsia"/>
          <w:iCs/>
          <w:position w:val="-6"/>
          <w:lang w:val="en-US" w:eastAsia="zh-CN"/>
        </w:rPr>
      </w:pPr>
      <w:r>
        <w:rPr>
          <w:rFonts w:hint="eastAsia"/>
          <w:b/>
          <w:bCs/>
          <w:i/>
          <w:iCs w:val="0"/>
          <w:position w:val="-6"/>
          <w:lang w:val="en-US" w:eastAsia="zh-CN"/>
        </w:rPr>
        <w:t xml:space="preserve">Proposal 6: </w:t>
      </w:r>
      <w:r>
        <w:rPr>
          <w:rFonts w:hint="eastAsia"/>
          <w:b w:val="0"/>
          <w:bCs w:val="0"/>
          <w:i/>
          <w:iCs w:val="0"/>
          <w:position w:val="-6"/>
          <w:lang w:val="en-US" w:eastAsia="zh-CN"/>
        </w:rPr>
        <w:t>Discuss the UCI multiplexing rules in case PUCCH overlaps with PUSCH in one or more slots of the multiple slots for TB processing.</w:t>
      </w:r>
    </w:p>
    <w:p>
      <w:pPr>
        <w:spacing w:after="0"/>
        <w:rPr>
          <w:rFonts w:hint="eastAsia"/>
          <w:b/>
          <w:bCs/>
          <w:i/>
          <w:iCs/>
          <w:lang w:val="en-US" w:eastAsia="zh-CN"/>
        </w:rPr>
      </w:pPr>
      <w:r>
        <w:rPr>
          <w:rFonts w:hint="eastAsia"/>
          <w:b/>
          <w:bCs/>
          <w:i/>
          <w:iCs/>
          <w:lang w:val="en-US" w:eastAsia="zh-CN"/>
        </w:rPr>
        <w:t xml:space="preserve">Proposal 7: </w:t>
      </w:r>
      <w:r>
        <w:rPr>
          <w:rFonts w:hint="eastAsia"/>
          <w:b w:val="0"/>
          <w:bCs w:val="0"/>
          <w:i/>
          <w:iCs/>
          <w:lang w:val="en-US" w:eastAsia="zh-CN"/>
        </w:rPr>
        <w:t>For TB processing over multiple slots, the transmission power determination should be based on the multiple slots for TB processing.</w:t>
      </w:r>
      <w:r>
        <w:rPr>
          <w:rFonts w:hint="eastAsia"/>
          <w:b/>
          <w:bCs/>
          <w:i/>
          <w:iCs/>
          <w:lang w:val="en-US" w:eastAsia="zh-CN"/>
        </w:rPr>
        <w:t xml:space="preserve">  </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20"/>
          <w:highlight w:val="none"/>
          <w:lang w:val="en-US" w:eastAsia="zh-CN"/>
        </w:rPr>
      </w:pPr>
      <w:bookmarkStart w:id="9" w:name="_Ref525119031"/>
      <w:r>
        <w:rPr>
          <w:rFonts w:hint="default" w:ascii="Times New Roman" w:hAnsi="Times New Roman" w:cs="Times New Roman"/>
          <w:sz w:val="20"/>
          <w:szCs w:val="20"/>
          <w:highlight w:val="none"/>
          <w:lang w:eastAsia="zh-CN"/>
        </w:rPr>
        <w:t>3GPP RAN#</w:t>
      </w:r>
      <w:r>
        <w:rPr>
          <w:rFonts w:hint="eastAsia" w:ascii="Times New Roman" w:hAnsi="Times New Roman" w:cs="Times New Roman"/>
          <w:sz w:val="20"/>
          <w:szCs w:val="20"/>
          <w:highlight w:val="none"/>
          <w:lang w:val="en-US" w:eastAsia="zh-CN"/>
        </w:rPr>
        <w:t>90-</w:t>
      </w:r>
      <w:r>
        <w:rPr>
          <w:rFonts w:hint="default" w:ascii="Times New Roman" w:hAnsi="Times New Roman" w:cs="Times New Roman"/>
          <w:sz w:val="20"/>
          <w:szCs w:val="20"/>
          <w:highlight w:val="none"/>
          <w:lang w:val="en-US" w:eastAsia="zh-CN"/>
        </w:rPr>
        <w:t xml:space="preserve">e, </w:t>
      </w:r>
      <w:r>
        <w:rPr>
          <w:rFonts w:hint="eastAsia" w:ascii="Times New Roman" w:hAnsi="Times New Roman" w:cs="Times New Roman"/>
          <w:sz w:val="20"/>
          <w:szCs w:val="20"/>
          <w:highlight w:val="none"/>
          <w:lang w:eastAsia="zh-CN"/>
        </w:rPr>
        <w:fldChar w:fldCharType="begin"/>
      </w:r>
      <w:r>
        <w:rPr>
          <w:rFonts w:hint="eastAsia" w:ascii="Times New Roman" w:hAnsi="Times New Roman" w:cs="Times New Roman"/>
          <w:sz w:val="20"/>
          <w:szCs w:val="20"/>
          <w:highlight w:val="none"/>
          <w:lang w:eastAsia="zh-CN"/>
        </w:rPr>
        <w:instrText xml:space="preserve"> HYPERLINK "http://www.3gpp.org/ftp/tsg_ran/TSG_RAN/TSGR_90e/Docs/RP-202928.zip" </w:instrText>
      </w:r>
      <w:r>
        <w:rPr>
          <w:rFonts w:hint="eastAsia" w:ascii="Times New Roman" w:hAnsi="Times New Roman" w:cs="Times New Roman"/>
          <w:sz w:val="20"/>
          <w:szCs w:val="20"/>
          <w:highlight w:val="none"/>
          <w:lang w:eastAsia="zh-CN"/>
        </w:rPr>
        <w:fldChar w:fldCharType="separate"/>
      </w:r>
      <w:r>
        <w:rPr>
          <w:rFonts w:hint="eastAsia" w:ascii="Times New Roman" w:hAnsi="Times New Roman" w:cs="Times New Roman"/>
          <w:sz w:val="20"/>
          <w:szCs w:val="20"/>
          <w:highlight w:val="none"/>
          <w:lang w:eastAsia="zh-CN"/>
        </w:rPr>
        <w:t>RP-202928</w:t>
      </w:r>
      <w:r>
        <w:rPr>
          <w:rFonts w:hint="eastAsia" w:ascii="Times New Roman" w:hAnsi="Times New Roman" w:cs="Times New Roman"/>
          <w:sz w:val="20"/>
          <w:szCs w:val="20"/>
          <w:highlight w:val="none"/>
          <w:lang w:eastAsia="zh-CN"/>
        </w:rPr>
        <w:fldChar w:fldCharType="end"/>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eastAsia="zh-CN"/>
        </w:rPr>
        <w:t>New WID on NR coverage enhancements</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China Telecom</w:t>
      </w:r>
      <w:r>
        <w:rPr>
          <w:rFonts w:hint="eastAsia" w:ascii="Times New Roman" w:hAnsi="Times New Roman" w:cs="Times New Roman"/>
          <w:sz w:val="20"/>
          <w:szCs w:val="20"/>
          <w:highlight w:val="none"/>
          <w:lang w:val="en-US" w:eastAsia="zh-CN"/>
        </w:rPr>
        <w:t>.</w:t>
      </w:r>
    </w:p>
    <w:p>
      <w:pPr>
        <w:pStyle w:val="126"/>
        <w:rPr>
          <w:rFonts w:hint="eastAsia"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eastAsia="zh-CN"/>
        </w:rPr>
        <w:t>3GPP TR 38.830 V1.0.</w:t>
      </w:r>
      <w:r>
        <w:rPr>
          <w:rFonts w:hint="eastAsia" w:ascii="Times New Roman" w:hAnsi="Times New Roman" w:cs="Times New Roman"/>
          <w:sz w:val="20"/>
          <w:szCs w:val="20"/>
          <w:highlight w:val="none"/>
          <w:lang w:eastAsia="zh-CN"/>
        </w:rPr>
        <w:t>0</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w:t>
      </w:r>
      <w:r>
        <w:rPr>
          <w:rFonts w:hint="default" w:ascii="Times New Roman" w:hAnsi="Times New Roman" w:cs="Times New Roman"/>
          <w:sz w:val="20"/>
          <w:szCs w:val="20"/>
          <w:highlight w:val="none"/>
          <w:lang w:eastAsia="zh-CN"/>
        </w:rPr>
        <w:t>Study on NR coverage enhancements</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 xml:space="preserve">Release </w:t>
      </w:r>
      <w:bookmarkStart w:id="10" w:name="specRelease"/>
      <w:r>
        <w:rPr>
          <w:rFonts w:hint="default" w:ascii="Times New Roman" w:hAnsi="Times New Roman" w:cs="Times New Roman"/>
          <w:sz w:val="20"/>
          <w:szCs w:val="20"/>
          <w:highlight w:val="none"/>
          <w:lang w:eastAsia="zh-CN"/>
        </w:rPr>
        <w:t>17</w:t>
      </w:r>
      <w:bookmarkEnd w:id="10"/>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2020-12</w:t>
      </w:r>
      <w:r>
        <w:rPr>
          <w:rFonts w:hint="eastAsia" w:ascii="Times New Roman" w:hAnsi="Times New Roman" w:cs="Times New Roman"/>
          <w:sz w:val="20"/>
          <w:szCs w:val="20"/>
          <w:highlight w:val="none"/>
          <w:lang w:val="en-US" w:eastAsia="zh-CN"/>
        </w:rPr>
        <w:t>.</w:t>
      </w:r>
    </w:p>
    <w:bookmarkEnd w:id="9"/>
    <w:p>
      <w:pPr>
        <w:pStyle w:val="126"/>
        <w:rPr>
          <w:szCs w:val="22"/>
          <w:lang w:val="en-US" w:eastAsia="zh-CN"/>
        </w:rPr>
      </w:pPr>
      <w:r>
        <w:rPr>
          <w:rFonts w:hint="eastAsia" w:ascii="Times New Roman" w:hAnsi="Times New Roman" w:cs="Times New Roman"/>
          <w:sz w:val="20"/>
          <w:szCs w:val="20"/>
          <w:highlight w:val="none"/>
          <w:lang w:val="en-US" w:eastAsia="zh-CN"/>
        </w:rPr>
        <w:t xml:space="preserve">3GPP </w:t>
      </w:r>
      <w:r>
        <w:rPr>
          <w:rFonts w:hint="default" w:ascii="Times New Roman" w:hAnsi="Times New Roman" w:cs="Times New Roman"/>
          <w:sz w:val="20"/>
          <w:szCs w:val="20"/>
          <w:highlight w:val="none"/>
          <w:lang w:eastAsia="zh-CN"/>
        </w:rPr>
        <w:t>RAN</w:t>
      </w:r>
      <w:r>
        <w:rPr>
          <w:rFonts w:hint="eastAsia"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w:t>
      </w:r>
      <w:r>
        <w:rPr>
          <w:rFonts w:hint="eastAsia" w:ascii="Times New Roman" w:hAnsi="Times New Roman" w:cs="Times New Roman"/>
          <w:sz w:val="20"/>
          <w:szCs w:val="20"/>
          <w:highlight w:val="none"/>
          <w:lang w:val="en-US" w:eastAsia="zh-CN"/>
        </w:rPr>
        <w:t>99</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eastAsia="zh-CN"/>
        </w:rPr>
        <w:t>R1-1913519</w:t>
      </w:r>
      <w:r>
        <w:rPr>
          <w:rFonts w:hint="eastAsia"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w:t>
      </w:r>
      <w:bookmarkStart w:id="11" w:name="_Hlk535782949"/>
      <w:r>
        <w:rPr>
          <w:rFonts w:hint="default" w:ascii="Times New Roman" w:hAnsi="Times New Roman" w:cs="Times New Roman"/>
          <w:sz w:val="20"/>
          <w:szCs w:val="20"/>
          <w:highlight w:val="none"/>
          <w:lang w:val="en-US" w:eastAsia="zh-CN"/>
        </w:rPr>
        <w:t>Summary #4 of PUSCH enhancements for NR eURLLC</w:t>
      </w:r>
      <w:bookmarkEnd w:id="11"/>
      <w:r>
        <w:rPr>
          <w:rFonts w:hint="default" w:ascii="Times New Roman" w:hAnsi="Times New Roman" w:cs="Times New Roman"/>
          <w:sz w:val="20"/>
          <w:szCs w:val="20"/>
          <w:highlight w:val="none"/>
          <w:lang w:val="en-US" w:eastAsia="zh-CN"/>
        </w:rPr>
        <w:t xml:space="preserve"> (AI 7.2.6.3)</w:t>
      </w:r>
      <w:r>
        <w:rPr>
          <w:rFonts w:hint="default" w:ascii="Times New Roman" w:hAnsi="Times New Roman" w:cs="Times New Roman"/>
          <w:sz w:val="20"/>
          <w:szCs w:val="20"/>
          <w:highlight w:val="none"/>
          <w:lang w:val="en-US" w:eastAsia="ja-JP"/>
        </w:rPr>
        <w:tab/>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w:t>
      </w:r>
      <w:r>
        <w:rPr>
          <w:rFonts w:hint="eastAsia" w:cs="Times New Roman"/>
          <w:sz w:val="20"/>
          <w:szCs w:val="20"/>
          <w:highlight w:val="none"/>
          <w:lang w:val="en-US" w:eastAsia="zh-CN"/>
        </w:rPr>
        <w:t xml:space="preserve"> </w:t>
      </w:r>
      <w:bookmarkStart w:id="12" w:name="_GoBack"/>
      <w:bookmarkEnd w:id="12"/>
      <w:r>
        <w:rPr>
          <w:rFonts w:hint="default" w:ascii="Times New Roman" w:hAnsi="Times New Roman" w:cs="Times New Roman"/>
          <w:sz w:val="20"/>
          <w:szCs w:val="20"/>
          <w:highlight w:val="none"/>
          <w:lang w:val="en-US" w:eastAsia="ja-JP"/>
        </w:rPr>
        <w:t>Nokia, Nokia Shanghai Bell</w:t>
      </w:r>
      <w:r>
        <w:rPr>
          <w:rFonts w:hint="eastAsia" w:ascii="Times New Roman" w:hAnsi="Times New Roman" w:cs="Times New Roman"/>
          <w:sz w:val="20"/>
          <w:szCs w:val="20"/>
          <w:highlight w:val="none"/>
          <w:lang w:val="en-US" w:eastAsia="zh-CN"/>
        </w:rPr>
        <w:t>.</w:t>
      </w: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EAA49E"/>
    <w:multiLevelType w:val="multilevel"/>
    <w:tmpl w:val="C2EAA49E"/>
    <w:lvl w:ilvl="0" w:tentative="0">
      <w:start w:val="1"/>
      <w:numFmt w:val="bullet"/>
      <w:lvlText w:val=""/>
      <w:lvlJc w:val="left"/>
      <w:pPr>
        <w:tabs>
          <w:tab w:val="left" w:pos="720"/>
        </w:tabs>
        <w:ind w:left="0" w:leftChars="0" w:firstLine="360" w:firstLineChars="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D0EFF83"/>
    <w:multiLevelType w:val="singleLevel"/>
    <w:tmpl w:val="0D0EFF83"/>
    <w:lvl w:ilvl="0" w:tentative="0">
      <w:start w:val="1"/>
      <w:numFmt w:val="bullet"/>
      <w:lvlText w:val=""/>
      <w:lvlJc w:val="left"/>
      <w:pPr>
        <w:ind w:left="42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8142C65"/>
    <w:multiLevelType w:val="singleLevel"/>
    <w:tmpl w:val="48142C65"/>
    <w:lvl w:ilvl="0" w:tentative="0">
      <w:start w:val="1"/>
      <w:numFmt w:val="bullet"/>
      <w:lvlText w:val=""/>
      <w:lvlJc w:val="left"/>
      <w:pPr>
        <w:tabs>
          <w:tab w:val="left" w:pos="420"/>
        </w:tabs>
        <w:ind w:left="840" w:hanging="420"/>
      </w:pPr>
      <w:rPr>
        <w:rFonts w:hint="default" w:ascii="Wingdings" w:hAnsi="Wingdings"/>
      </w:rPr>
    </w:lvl>
  </w:abstractNum>
  <w:abstractNum w:abstractNumId="7">
    <w:nsid w:val="49217399"/>
    <w:multiLevelType w:val="singleLevel"/>
    <w:tmpl w:val="49217399"/>
    <w:lvl w:ilvl="0" w:tentative="0">
      <w:start w:val="1"/>
      <w:numFmt w:val="bullet"/>
      <w:lvlText w:val=""/>
      <w:lvlJc w:val="left"/>
      <w:pPr>
        <w:ind w:left="420" w:hanging="42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9F36688"/>
    <w:multiLevelType w:val="multilevel"/>
    <w:tmpl w:val="69F366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9"/>
  </w:num>
  <w:num w:numId="4">
    <w:abstractNumId w:val="5"/>
  </w:num>
  <w:num w:numId="5">
    <w:abstractNumId w:val="12"/>
  </w:num>
  <w:num w:numId="6">
    <w:abstractNumId w:val="8"/>
  </w:num>
  <w:num w:numId="7">
    <w:abstractNumId w:val="4"/>
  </w:num>
  <w:num w:numId="8">
    <w:abstractNumId w:val="11"/>
  </w:num>
  <w:num w:numId="9">
    <w:abstractNumId w:val="0"/>
  </w:num>
  <w:num w:numId="10">
    <w:abstractNumId w:val="7"/>
  </w:num>
  <w:num w:numId="11">
    <w:abstractNumId w:val="10"/>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E5D"/>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35107"/>
    <w:rsid w:val="013E6BC5"/>
    <w:rsid w:val="013F6CFD"/>
    <w:rsid w:val="013F7A03"/>
    <w:rsid w:val="016402CE"/>
    <w:rsid w:val="01BD3D4A"/>
    <w:rsid w:val="01DC049B"/>
    <w:rsid w:val="01E03258"/>
    <w:rsid w:val="01EB3A92"/>
    <w:rsid w:val="02032AA4"/>
    <w:rsid w:val="02423A73"/>
    <w:rsid w:val="024A5E6A"/>
    <w:rsid w:val="024F2CA8"/>
    <w:rsid w:val="02737E73"/>
    <w:rsid w:val="02811D65"/>
    <w:rsid w:val="0284643E"/>
    <w:rsid w:val="02895B82"/>
    <w:rsid w:val="02B30F60"/>
    <w:rsid w:val="02BE0FF2"/>
    <w:rsid w:val="02C17A92"/>
    <w:rsid w:val="02D37301"/>
    <w:rsid w:val="02E51F96"/>
    <w:rsid w:val="03023110"/>
    <w:rsid w:val="030938DB"/>
    <w:rsid w:val="033F2705"/>
    <w:rsid w:val="03532C3F"/>
    <w:rsid w:val="035F79EB"/>
    <w:rsid w:val="036A2B26"/>
    <w:rsid w:val="03A85AD3"/>
    <w:rsid w:val="03B25C4C"/>
    <w:rsid w:val="03D12146"/>
    <w:rsid w:val="03D24EAD"/>
    <w:rsid w:val="03D338BE"/>
    <w:rsid w:val="03F429A0"/>
    <w:rsid w:val="03F94E83"/>
    <w:rsid w:val="03FC4856"/>
    <w:rsid w:val="03FC5876"/>
    <w:rsid w:val="04114E5A"/>
    <w:rsid w:val="04122D0D"/>
    <w:rsid w:val="041C778B"/>
    <w:rsid w:val="041E3922"/>
    <w:rsid w:val="043C001A"/>
    <w:rsid w:val="04457988"/>
    <w:rsid w:val="045E14B4"/>
    <w:rsid w:val="047E59D0"/>
    <w:rsid w:val="04861442"/>
    <w:rsid w:val="048B7799"/>
    <w:rsid w:val="048F11FF"/>
    <w:rsid w:val="04B72387"/>
    <w:rsid w:val="05010DF4"/>
    <w:rsid w:val="050216B7"/>
    <w:rsid w:val="05073715"/>
    <w:rsid w:val="050D4324"/>
    <w:rsid w:val="052E411B"/>
    <w:rsid w:val="055F29B4"/>
    <w:rsid w:val="05777789"/>
    <w:rsid w:val="05892035"/>
    <w:rsid w:val="05915A68"/>
    <w:rsid w:val="05956D97"/>
    <w:rsid w:val="06045E70"/>
    <w:rsid w:val="060A4922"/>
    <w:rsid w:val="061D10E6"/>
    <w:rsid w:val="062103E2"/>
    <w:rsid w:val="06360315"/>
    <w:rsid w:val="06382B48"/>
    <w:rsid w:val="0638748C"/>
    <w:rsid w:val="066440E2"/>
    <w:rsid w:val="06654938"/>
    <w:rsid w:val="067D4C1C"/>
    <w:rsid w:val="067F28DC"/>
    <w:rsid w:val="06B127E5"/>
    <w:rsid w:val="06EC2FDA"/>
    <w:rsid w:val="0705530E"/>
    <w:rsid w:val="07067712"/>
    <w:rsid w:val="070E2577"/>
    <w:rsid w:val="07216A74"/>
    <w:rsid w:val="072F2729"/>
    <w:rsid w:val="07583530"/>
    <w:rsid w:val="07722C34"/>
    <w:rsid w:val="07786E60"/>
    <w:rsid w:val="077E7782"/>
    <w:rsid w:val="078F6F15"/>
    <w:rsid w:val="07B35775"/>
    <w:rsid w:val="07C21FA9"/>
    <w:rsid w:val="07C616E6"/>
    <w:rsid w:val="07D06D7A"/>
    <w:rsid w:val="07DD5AB3"/>
    <w:rsid w:val="07ED5378"/>
    <w:rsid w:val="081D64A1"/>
    <w:rsid w:val="08343DCA"/>
    <w:rsid w:val="08476CF8"/>
    <w:rsid w:val="08891F5A"/>
    <w:rsid w:val="088D57DF"/>
    <w:rsid w:val="08A871B9"/>
    <w:rsid w:val="08B6396D"/>
    <w:rsid w:val="08C62263"/>
    <w:rsid w:val="092A0C39"/>
    <w:rsid w:val="0957797D"/>
    <w:rsid w:val="096B6A5A"/>
    <w:rsid w:val="09700F9B"/>
    <w:rsid w:val="0972706B"/>
    <w:rsid w:val="09740099"/>
    <w:rsid w:val="097F1A1D"/>
    <w:rsid w:val="09860267"/>
    <w:rsid w:val="098678CD"/>
    <w:rsid w:val="098B6751"/>
    <w:rsid w:val="099E3E66"/>
    <w:rsid w:val="09A342F4"/>
    <w:rsid w:val="09C21BB6"/>
    <w:rsid w:val="09D462E7"/>
    <w:rsid w:val="09DF5616"/>
    <w:rsid w:val="09EE01D5"/>
    <w:rsid w:val="0A046E11"/>
    <w:rsid w:val="0A0544FB"/>
    <w:rsid w:val="0A16306D"/>
    <w:rsid w:val="0A4A6A77"/>
    <w:rsid w:val="0A740BC2"/>
    <w:rsid w:val="0A7742F8"/>
    <w:rsid w:val="0A7B68A7"/>
    <w:rsid w:val="0ABE112F"/>
    <w:rsid w:val="0AFC60B7"/>
    <w:rsid w:val="0B33141F"/>
    <w:rsid w:val="0B385F43"/>
    <w:rsid w:val="0B4B104D"/>
    <w:rsid w:val="0B6F6E61"/>
    <w:rsid w:val="0B7D47A2"/>
    <w:rsid w:val="0BAD56E4"/>
    <w:rsid w:val="0BAD7041"/>
    <w:rsid w:val="0BCD429E"/>
    <w:rsid w:val="0BD62E6D"/>
    <w:rsid w:val="0BEA432F"/>
    <w:rsid w:val="0C025DBE"/>
    <w:rsid w:val="0C10178A"/>
    <w:rsid w:val="0C1551CE"/>
    <w:rsid w:val="0C1B4F3E"/>
    <w:rsid w:val="0C2552E0"/>
    <w:rsid w:val="0C384368"/>
    <w:rsid w:val="0C416901"/>
    <w:rsid w:val="0C56233F"/>
    <w:rsid w:val="0C6F5654"/>
    <w:rsid w:val="0C9022EC"/>
    <w:rsid w:val="0CB77457"/>
    <w:rsid w:val="0CC12DCD"/>
    <w:rsid w:val="0CC42632"/>
    <w:rsid w:val="0CD0309F"/>
    <w:rsid w:val="0CE37C3D"/>
    <w:rsid w:val="0D100457"/>
    <w:rsid w:val="0D127C26"/>
    <w:rsid w:val="0D132BA9"/>
    <w:rsid w:val="0D2057D1"/>
    <w:rsid w:val="0D660AC2"/>
    <w:rsid w:val="0D672BF6"/>
    <w:rsid w:val="0D783587"/>
    <w:rsid w:val="0D784257"/>
    <w:rsid w:val="0D7906A8"/>
    <w:rsid w:val="0DA358F7"/>
    <w:rsid w:val="0DC10615"/>
    <w:rsid w:val="0DCE068D"/>
    <w:rsid w:val="0DDC43A1"/>
    <w:rsid w:val="0DF90923"/>
    <w:rsid w:val="0E083C1B"/>
    <w:rsid w:val="0E120AD5"/>
    <w:rsid w:val="0E216BDD"/>
    <w:rsid w:val="0E3754E8"/>
    <w:rsid w:val="0E760DAD"/>
    <w:rsid w:val="0E8E69DA"/>
    <w:rsid w:val="0E923378"/>
    <w:rsid w:val="0E933444"/>
    <w:rsid w:val="0E9A4B90"/>
    <w:rsid w:val="0EB06FFE"/>
    <w:rsid w:val="0ED568E9"/>
    <w:rsid w:val="0EF57D78"/>
    <w:rsid w:val="0F0A50A1"/>
    <w:rsid w:val="0F1D01AC"/>
    <w:rsid w:val="0F2A272E"/>
    <w:rsid w:val="0F2D52F9"/>
    <w:rsid w:val="0F417E12"/>
    <w:rsid w:val="0F4B2C65"/>
    <w:rsid w:val="0F7C47A9"/>
    <w:rsid w:val="0F80706D"/>
    <w:rsid w:val="0F967AD2"/>
    <w:rsid w:val="0F973CB6"/>
    <w:rsid w:val="0F9A4589"/>
    <w:rsid w:val="0FA50DA0"/>
    <w:rsid w:val="0FAF08BE"/>
    <w:rsid w:val="0FC166A9"/>
    <w:rsid w:val="0FCB1BEA"/>
    <w:rsid w:val="0FCB6BF7"/>
    <w:rsid w:val="0FFC3EF4"/>
    <w:rsid w:val="10150A41"/>
    <w:rsid w:val="101828E5"/>
    <w:rsid w:val="101A5C69"/>
    <w:rsid w:val="101B366C"/>
    <w:rsid w:val="10266D90"/>
    <w:rsid w:val="102D15F4"/>
    <w:rsid w:val="105B4D37"/>
    <w:rsid w:val="10622B32"/>
    <w:rsid w:val="106F049A"/>
    <w:rsid w:val="108C6131"/>
    <w:rsid w:val="10BE60B3"/>
    <w:rsid w:val="10D80AE3"/>
    <w:rsid w:val="10E17DDA"/>
    <w:rsid w:val="10E27855"/>
    <w:rsid w:val="11087971"/>
    <w:rsid w:val="111F093B"/>
    <w:rsid w:val="11342246"/>
    <w:rsid w:val="113E1505"/>
    <w:rsid w:val="11611158"/>
    <w:rsid w:val="11653C6F"/>
    <w:rsid w:val="11714B0D"/>
    <w:rsid w:val="117E25DB"/>
    <w:rsid w:val="11B73B6D"/>
    <w:rsid w:val="11CB06D4"/>
    <w:rsid w:val="120C29C9"/>
    <w:rsid w:val="12220211"/>
    <w:rsid w:val="123E3213"/>
    <w:rsid w:val="125652F8"/>
    <w:rsid w:val="1257267A"/>
    <w:rsid w:val="127C6655"/>
    <w:rsid w:val="128541AE"/>
    <w:rsid w:val="12A472D8"/>
    <w:rsid w:val="12B47087"/>
    <w:rsid w:val="12DE4561"/>
    <w:rsid w:val="12E3344C"/>
    <w:rsid w:val="12FE321B"/>
    <w:rsid w:val="130859B8"/>
    <w:rsid w:val="133A7BDD"/>
    <w:rsid w:val="135349F3"/>
    <w:rsid w:val="1380021A"/>
    <w:rsid w:val="13834E97"/>
    <w:rsid w:val="13A60C16"/>
    <w:rsid w:val="13C94DF4"/>
    <w:rsid w:val="14054947"/>
    <w:rsid w:val="141F2191"/>
    <w:rsid w:val="14380455"/>
    <w:rsid w:val="14497722"/>
    <w:rsid w:val="14970691"/>
    <w:rsid w:val="14A36FA2"/>
    <w:rsid w:val="14BE422E"/>
    <w:rsid w:val="14E95509"/>
    <w:rsid w:val="15076363"/>
    <w:rsid w:val="151224BC"/>
    <w:rsid w:val="156C4FC8"/>
    <w:rsid w:val="1575AEB2"/>
    <w:rsid w:val="1579497C"/>
    <w:rsid w:val="15824EE1"/>
    <w:rsid w:val="15946235"/>
    <w:rsid w:val="15AB7EDB"/>
    <w:rsid w:val="15CC20E6"/>
    <w:rsid w:val="15EE136C"/>
    <w:rsid w:val="16151768"/>
    <w:rsid w:val="16165887"/>
    <w:rsid w:val="162C0344"/>
    <w:rsid w:val="162E3333"/>
    <w:rsid w:val="164F7F6D"/>
    <w:rsid w:val="165D61C4"/>
    <w:rsid w:val="165E068A"/>
    <w:rsid w:val="168D76DC"/>
    <w:rsid w:val="16A404D9"/>
    <w:rsid w:val="16B572E7"/>
    <w:rsid w:val="16B6382D"/>
    <w:rsid w:val="16F003E9"/>
    <w:rsid w:val="1702D3F2"/>
    <w:rsid w:val="171849A8"/>
    <w:rsid w:val="17214315"/>
    <w:rsid w:val="173E0B24"/>
    <w:rsid w:val="178645D7"/>
    <w:rsid w:val="17C751F5"/>
    <w:rsid w:val="17E16E37"/>
    <w:rsid w:val="17E52844"/>
    <w:rsid w:val="180B054C"/>
    <w:rsid w:val="181B0B92"/>
    <w:rsid w:val="18383508"/>
    <w:rsid w:val="183D1BA1"/>
    <w:rsid w:val="18634992"/>
    <w:rsid w:val="18782D21"/>
    <w:rsid w:val="188D2058"/>
    <w:rsid w:val="18BA7603"/>
    <w:rsid w:val="18BE49D4"/>
    <w:rsid w:val="18D044D6"/>
    <w:rsid w:val="18FD3F86"/>
    <w:rsid w:val="190769D0"/>
    <w:rsid w:val="190E40D0"/>
    <w:rsid w:val="192000D8"/>
    <w:rsid w:val="192816FC"/>
    <w:rsid w:val="192B740B"/>
    <w:rsid w:val="192F4C7B"/>
    <w:rsid w:val="1936699B"/>
    <w:rsid w:val="194141EB"/>
    <w:rsid w:val="19481FB4"/>
    <w:rsid w:val="19512211"/>
    <w:rsid w:val="19654572"/>
    <w:rsid w:val="19C33314"/>
    <w:rsid w:val="19C54F07"/>
    <w:rsid w:val="19CC1C6E"/>
    <w:rsid w:val="19CF5864"/>
    <w:rsid w:val="19DC4FBE"/>
    <w:rsid w:val="1A1C5725"/>
    <w:rsid w:val="1A4A22E6"/>
    <w:rsid w:val="1A514204"/>
    <w:rsid w:val="1A6C6CCE"/>
    <w:rsid w:val="1A8616E3"/>
    <w:rsid w:val="1AB64965"/>
    <w:rsid w:val="1ABC15A3"/>
    <w:rsid w:val="1AE20B82"/>
    <w:rsid w:val="1AEB2825"/>
    <w:rsid w:val="1AEF3793"/>
    <w:rsid w:val="1B164B40"/>
    <w:rsid w:val="1B205250"/>
    <w:rsid w:val="1B2E6DC7"/>
    <w:rsid w:val="1B4E3AF0"/>
    <w:rsid w:val="1B5316CE"/>
    <w:rsid w:val="1B5E59D2"/>
    <w:rsid w:val="1B9F7ADA"/>
    <w:rsid w:val="1BB448EC"/>
    <w:rsid w:val="1BC1238B"/>
    <w:rsid w:val="1BDC2DFC"/>
    <w:rsid w:val="1BFE114F"/>
    <w:rsid w:val="1C101DB1"/>
    <w:rsid w:val="1C135661"/>
    <w:rsid w:val="1C2168C5"/>
    <w:rsid w:val="1C2F3AAB"/>
    <w:rsid w:val="1C5F0DE0"/>
    <w:rsid w:val="1C6632A9"/>
    <w:rsid w:val="1C766428"/>
    <w:rsid w:val="1C921230"/>
    <w:rsid w:val="1CA9491D"/>
    <w:rsid w:val="1CB626A2"/>
    <w:rsid w:val="1CC02EEB"/>
    <w:rsid w:val="1D011255"/>
    <w:rsid w:val="1D2355A7"/>
    <w:rsid w:val="1D331CAE"/>
    <w:rsid w:val="1D465FAC"/>
    <w:rsid w:val="1D492793"/>
    <w:rsid w:val="1D69655C"/>
    <w:rsid w:val="1D833CB2"/>
    <w:rsid w:val="1DC35933"/>
    <w:rsid w:val="1DD50930"/>
    <w:rsid w:val="1DF407BB"/>
    <w:rsid w:val="1E0C5BE2"/>
    <w:rsid w:val="1E0C78F8"/>
    <w:rsid w:val="1E0D68E0"/>
    <w:rsid w:val="1E187CF0"/>
    <w:rsid w:val="1E38003B"/>
    <w:rsid w:val="1EA41854"/>
    <w:rsid w:val="1EB815C1"/>
    <w:rsid w:val="1ED7372F"/>
    <w:rsid w:val="1EF3797A"/>
    <w:rsid w:val="1F325F59"/>
    <w:rsid w:val="1F391D93"/>
    <w:rsid w:val="1F3F463C"/>
    <w:rsid w:val="1F850095"/>
    <w:rsid w:val="1FA51F0E"/>
    <w:rsid w:val="1FB91CD0"/>
    <w:rsid w:val="1FEB5923"/>
    <w:rsid w:val="2013006C"/>
    <w:rsid w:val="20275F86"/>
    <w:rsid w:val="206D0E05"/>
    <w:rsid w:val="2076519E"/>
    <w:rsid w:val="2081260F"/>
    <w:rsid w:val="20906487"/>
    <w:rsid w:val="20910CB1"/>
    <w:rsid w:val="20A03F1A"/>
    <w:rsid w:val="20A6747F"/>
    <w:rsid w:val="20AF3C25"/>
    <w:rsid w:val="20BA2550"/>
    <w:rsid w:val="20CD42FE"/>
    <w:rsid w:val="20E45777"/>
    <w:rsid w:val="20E46A25"/>
    <w:rsid w:val="20E65374"/>
    <w:rsid w:val="21035A99"/>
    <w:rsid w:val="21282288"/>
    <w:rsid w:val="21531B53"/>
    <w:rsid w:val="215A5C59"/>
    <w:rsid w:val="216F26FD"/>
    <w:rsid w:val="219A0866"/>
    <w:rsid w:val="21A65111"/>
    <w:rsid w:val="21B15D7D"/>
    <w:rsid w:val="21E03BB4"/>
    <w:rsid w:val="21E734B3"/>
    <w:rsid w:val="21FA3B6A"/>
    <w:rsid w:val="21FB6EBC"/>
    <w:rsid w:val="22007048"/>
    <w:rsid w:val="2239304E"/>
    <w:rsid w:val="22434E0C"/>
    <w:rsid w:val="2256623F"/>
    <w:rsid w:val="22774F32"/>
    <w:rsid w:val="227C2816"/>
    <w:rsid w:val="227F774F"/>
    <w:rsid w:val="22C22FF5"/>
    <w:rsid w:val="22F03980"/>
    <w:rsid w:val="22FE2795"/>
    <w:rsid w:val="2302282B"/>
    <w:rsid w:val="231E4B98"/>
    <w:rsid w:val="232D30A1"/>
    <w:rsid w:val="23591AF2"/>
    <w:rsid w:val="2359400D"/>
    <w:rsid w:val="23680C07"/>
    <w:rsid w:val="236959BD"/>
    <w:rsid w:val="237960C8"/>
    <w:rsid w:val="238B15F3"/>
    <w:rsid w:val="238B4C65"/>
    <w:rsid w:val="239E142D"/>
    <w:rsid w:val="23AB767C"/>
    <w:rsid w:val="23B5716D"/>
    <w:rsid w:val="23BD1EF4"/>
    <w:rsid w:val="23D25841"/>
    <w:rsid w:val="23D326EF"/>
    <w:rsid w:val="23D61A36"/>
    <w:rsid w:val="23E630A6"/>
    <w:rsid w:val="240C16A9"/>
    <w:rsid w:val="242C77C3"/>
    <w:rsid w:val="245870DE"/>
    <w:rsid w:val="246261A2"/>
    <w:rsid w:val="247247A7"/>
    <w:rsid w:val="24726357"/>
    <w:rsid w:val="2473146A"/>
    <w:rsid w:val="24776489"/>
    <w:rsid w:val="24860C2E"/>
    <w:rsid w:val="24990B16"/>
    <w:rsid w:val="24A31FE9"/>
    <w:rsid w:val="24AD7EE6"/>
    <w:rsid w:val="24C52FEC"/>
    <w:rsid w:val="24D0128B"/>
    <w:rsid w:val="24D756E7"/>
    <w:rsid w:val="250F0C37"/>
    <w:rsid w:val="251047CA"/>
    <w:rsid w:val="253B25A6"/>
    <w:rsid w:val="2560279C"/>
    <w:rsid w:val="25C41CF4"/>
    <w:rsid w:val="25C7121C"/>
    <w:rsid w:val="25D1072A"/>
    <w:rsid w:val="25F56EFA"/>
    <w:rsid w:val="26017507"/>
    <w:rsid w:val="2609208C"/>
    <w:rsid w:val="26152CC2"/>
    <w:rsid w:val="26166BCB"/>
    <w:rsid w:val="261D3B5E"/>
    <w:rsid w:val="26230FC6"/>
    <w:rsid w:val="26276462"/>
    <w:rsid w:val="263B2A11"/>
    <w:rsid w:val="264414C1"/>
    <w:rsid w:val="264D17ED"/>
    <w:rsid w:val="265B7C17"/>
    <w:rsid w:val="267C010D"/>
    <w:rsid w:val="26884CE9"/>
    <w:rsid w:val="26EE7123"/>
    <w:rsid w:val="26F230BB"/>
    <w:rsid w:val="26F60EF2"/>
    <w:rsid w:val="27136A33"/>
    <w:rsid w:val="271D6B93"/>
    <w:rsid w:val="27291884"/>
    <w:rsid w:val="272C1CCE"/>
    <w:rsid w:val="27323917"/>
    <w:rsid w:val="274F0980"/>
    <w:rsid w:val="27563AD3"/>
    <w:rsid w:val="27864A32"/>
    <w:rsid w:val="279207CA"/>
    <w:rsid w:val="279A6D72"/>
    <w:rsid w:val="279F3D91"/>
    <w:rsid w:val="27A61E2B"/>
    <w:rsid w:val="27C5366D"/>
    <w:rsid w:val="27D6581A"/>
    <w:rsid w:val="27DD67CA"/>
    <w:rsid w:val="281F31E0"/>
    <w:rsid w:val="281F6658"/>
    <w:rsid w:val="28690808"/>
    <w:rsid w:val="286A3775"/>
    <w:rsid w:val="28780C7F"/>
    <w:rsid w:val="28B07E55"/>
    <w:rsid w:val="28B54AA2"/>
    <w:rsid w:val="28C77C30"/>
    <w:rsid w:val="28CD0FD5"/>
    <w:rsid w:val="28E144AD"/>
    <w:rsid w:val="28FE0664"/>
    <w:rsid w:val="290D04CF"/>
    <w:rsid w:val="294118E7"/>
    <w:rsid w:val="294D3BE0"/>
    <w:rsid w:val="295A76BB"/>
    <w:rsid w:val="297F342E"/>
    <w:rsid w:val="298C7EE5"/>
    <w:rsid w:val="29A012F5"/>
    <w:rsid w:val="29AA4F1D"/>
    <w:rsid w:val="29B43A0D"/>
    <w:rsid w:val="29BB1B80"/>
    <w:rsid w:val="29C26BED"/>
    <w:rsid w:val="29E95D4E"/>
    <w:rsid w:val="2A023EC8"/>
    <w:rsid w:val="2A0F0B23"/>
    <w:rsid w:val="2A2F151B"/>
    <w:rsid w:val="2A30646E"/>
    <w:rsid w:val="2A5B6E64"/>
    <w:rsid w:val="2A71440E"/>
    <w:rsid w:val="2A866CC5"/>
    <w:rsid w:val="2A893D90"/>
    <w:rsid w:val="2A932738"/>
    <w:rsid w:val="2A9A305C"/>
    <w:rsid w:val="2A9D552B"/>
    <w:rsid w:val="2AB23289"/>
    <w:rsid w:val="2ACB1712"/>
    <w:rsid w:val="2AD41998"/>
    <w:rsid w:val="2AFE2B7E"/>
    <w:rsid w:val="2B1A73FE"/>
    <w:rsid w:val="2B26248E"/>
    <w:rsid w:val="2B274AD3"/>
    <w:rsid w:val="2B3F1C6E"/>
    <w:rsid w:val="2B527EC9"/>
    <w:rsid w:val="2B65451A"/>
    <w:rsid w:val="2BAD1406"/>
    <w:rsid w:val="2BB25377"/>
    <w:rsid w:val="2BDF29BF"/>
    <w:rsid w:val="2BE142ED"/>
    <w:rsid w:val="2C1A2224"/>
    <w:rsid w:val="2C3A46B1"/>
    <w:rsid w:val="2C474E25"/>
    <w:rsid w:val="2C726F07"/>
    <w:rsid w:val="2C876D50"/>
    <w:rsid w:val="2CA43A95"/>
    <w:rsid w:val="2CB23183"/>
    <w:rsid w:val="2CF04E98"/>
    <w:rsid w:val="2CF7267C"/>
    <w:rsid w:val="2D376513"/>
    <w:rsid w:val="2D3F2C8E"/>
    <w:rsid w:val="2D470923"/>
    <w:rsid w:val="2D822AC5"/>
    <w:rsid w:val="2D9102E1"/>
    <w:rsid w:val="2DAA409D"/>
    <w:rsid w:val="2DAB6695"/>
    <w:rsid w:val="2DC863F1"/>
    <w:rsid w:val="2DCB6CFD"/>
    <w:rsid w:val="2DE03750"/>
    <w:rsid w:val="2DFB41DC"/>
    <w:rsid w:val="2E045B1E"/>
    <w:rsid w:val="2E0A7FAA"/>
    <w:rsid w:val="2E350033"/>
    <w:rsid w:val="2E5F4D48"/>
    <w:rsid w:val="2E6D6806"/>
    <w:rsid w:val="2E897C39"/>
    <w:rsid w:val="2E930D3B"/>
    <w:rsid w:val="2EB72406"/>
    <w:rsid w:val="2F16113D"/>
    <w:rsid w:val="2F2367DE"/>
    <w:rsid w:val="2F3B0E90"/>
    <w:rsid w:val="2F95485F"/>
    <w:rsid w:val="2FB16B23"/>
    <w:rsid w:val="2FC96B2D"/>
    <w:rsid w:val="2FCC12D2"/>
    <w:rsid w:val="2FD27D5B"/>
    <w:rsid w:val="2FDF41BB"/>
    <w:rsid w:val="2FE160C6"/>
    <w:rsid w:val="2FE20B6B"/>
    <w:rsid w:val="2FF91044"/>
    <w:rsid w:val="302366DA"/>
    <w:rsid w:val="30330A15"/>
    <w:rsid w:val="304C06FE"/>
    <w:rsid w:val="308362C3"/>
    <w:rsid w:val="309C19C4"/>
    <w:rsid w:val="30DF24D7"/>
    <w:rsid w:val="30F06A8A"/>
    <w:rsid w:val="30FB19DC"/>
    <w:rsid w:val="3107240D"/>
    <w:rsid w:val="310B758D"/>
    <w:rsid w:val="31191A7A"/>
    <w:rsid w:val="31542D3B"/>
    <w:rsid w:val="315B492C"/>
    <w:rsid w:val="315E3DF0"/>
    <w:rsid w:val="31641D4B"/>
    <w:rsid w:val="3166748C"/>
    <w:rsid w:val="316739EE"/>
    <w:rsid w:val="317D3A23"/>
    <w:rsid w:val="31900E67"/>
    <w:rsid w:val="31AE3362"/>
    <w:rsid w:val="31B91EF2"/>
    <w:rsid w:val="31CB190E"/>
    <w:rsid w:val="32303C08"/>
    <w:rsid w:val="324568C8"/>
    <w:rsid w:val="324F2751"/>
    <w:rsid w:val="32627DE9"/>
    <w:rsid w:val="32832752"/>
    <w:rsid w:val="32B6553F"/>
    <w:rsid w:val="32D00191"/>
    <w:rsid w:val="32D077E9"/>
    <w:rsid w:val="32E67E6E"/>
    <w:rsid w:val="32EE7C54"/>
    <w:rsid w:val="32FE23BF"/>
    <w:rsid w:val="32FF674C"/>
    <w:rsid w:val="33075A5C"/>
    <w:rsid w:val="330E6893"/>
    <w:rsid w:val="330E70ED"/>
    <w:rsid w:val="335A71C0"/>
    <w:rsid w:val="336E5394"/>
    <w:rsid w:val="3384179E"/>
    <w:rsid w:val="33A02177"/>
    <w:rsid w:val="33A866D2"/>
    <w:rsid w:val="33DE0CB9"/>
    <w:rsid w:val="33EC1A91"/>
    <w:rsid w:val="340778E6"/>
    <w:rsid w:val="340B7C6C"/>
    <w:rsid w:val="344F7A97"/>
    <w:rsid w:val="34586101"/>
    <w:rsid w:val="345933D6"/>
    <w:rsid w:val="345A6743"/>
    <w:rsid w:val="34680CAF"/>
    <w:rsid w:val="347744AE"/>
    <w:rsid w:val="34A219B7"/>
    <w:rsid w:val="34AB7E73"/>
    <w:rsid w:val="34CC0649"/>
    <w:rsid w:val="34CC2CE0"/>
    <w:rsid w:val="34FB2046"/>
    <w:rsid w:val="3511129D"/>
    <w:rsid w:val="3567007D"/>
    <w:rsid w:val="35742CCA"/>
    <w:rsid w:val="358C098A"/>
    <w:rsid w:val="35911F22"/>
    <w:rsid w:val="359455FE"/>
    <w:rsid w:val="359E2F9D"/>
    <w:rsid w:val="35AE73AD"/>
    <w:rsid w:val="35E37771"/>
    <w:rsid w:val="35EC45CE"/>
    <w:rsid w:val="35EF263E"/>
    <w:rsid w:val="35F708CA"/>
    <w:rsid w:val="36091FD3"/>
    <w:rsid w:val="36182112"/>
    <w:rsid w:val="362F05DB"/>
    <w:rsid w:val="36B43102"/>
    <w:rsid w:val="36C410E0"/>
    <w:rsid w:val="36CB5B72"/>
    <w:rsid w:val="36CD07B0"/>
    <w:rsid w:val="37006596"/>
    <w:rsid w:val="372201DB"/>
    <w:rsid w:val="37295296"/>
    <w:rsid w:val="373242C4"/>
    <w:rsid w:val="37340EF6"/>
    <w:rsid w:val="37381BE9"/>
    <w:rsid w:val="373E20CB"/>
    <w:rsid w:val="374B56B5"/>
    <w:rsid w:val="375645F9"/>
    <w:rsid w:val="37584E84"/>
    <w:rsid w:val="375C57D7"/>
    <w:rsid w:val="377436B7"/>
    <w:rsid w:val="377B1300"/>
    <w:rsid w:val="379A1CFE"/>
    <w:rsid w:val="37B06053"/>
    <w:rsid w:val="37DD651E"/>
    <w:rsid w:val="380A0715"/>
    <w:rsid w:val="380A19E7"/>
    <w:rsid w:val="380A4DE5"/>
    <w:rsid w:val="3818082C"/>
    <w:rsid w:val="381A51F4"/>
    <w:rsid w:val="385D4981"/>
    <w:rsid w:val="386C5C36"/>
    <w:rsid w:val="388547C7"/>
    <w:rsid w:val="38B1715A"/>
    <w:rsid w:val="38BA113F"/>
    <w:rsid w:val="38E67795"/>
    <w:rsid w:val="39362F4F"/>
    <w:rsid w:val="39513E5B"/>
    <w:rsid w:val="397347DF"/>
    <w:rsid w:val="39BB105A"/>
    <w:rsid w:val="39ED0B9E"/>
    <w:rsid w:val="3A135075"/>
    <w:rsid w:val="3A1A3B64"/>
    <w:rsid w:val="3A6358B7"/>
    <w:rsid w:val="3A8424B5"/>
    <w:rsid w:val="3A9A43F1"/>
    <w:rsid w:val="3AA12DFF"/>
    <w:rsid w:val="3AB31D0C"/>
    <w:rsid w:val="3AF12F7A"/>
    <w:rsid w:val="3AF64CCF"/>
    <w:rsid w:val="3B017659"/>
    <w:rsid w:val="3B0E5515"/>
    <w:rsid w:val="3B235740"/>
    <w:rsid w:val="3B380971"/>
    <w:rsid w:val="3B3E48C1"/>
    <w:rsid w:val="3B4A3B53"/>
    <w:rsid w:val="3B8D2B5D"/>
    <w:rsid w:val="3BD034C7"/>
    <w:rsid w:val="3BDA3DBC"/>
    <w:rsid w:val="3C051D8B"/>
    <w:rsid w:val="3C2D3B81"/>
    <w:rsid w:val="3C581569"/>
    <w:rsid w:val="3C923082"/>
    <w:rsid w:val="3CA13237"/>
    <w:rsid w:val="3CF61444"/>
    <w:rsid w:val="3D0354C7"/>
    <w:rsid w:val="3D3A5C17"/>
    <w:rsid w:val="3D3F64B1"/>
    <w:rsid w:val="3D6D132D"/>
    <w:rsid w:val="3D7359C7"/>
    <w:rsid w:val="3D7642C9"/>
    <w:rsid w:val="3D86380E"/>
    <w:rsid w:val="3D8E1F11"/>
    <w:rsid w:val="3DA303E4"/>
    <w:rsid w:val="3DC0360A"/>
    <w:rsid w:val="3DC236A2"/>
    <w:rsid w:val="3DDA6D42"/>
    <w:rsid w:val="3DDD5D4B"/>
    <w:rsid w:val="3DDE08B2"/>
    <w:rsid w:val="3DED4A5A"/>
    <w:rsid w:val="3DFA6BAD"/>
    <w:rsid w:val="3DFD0ECE"/>
    <w:rsid w:val="3DFF13D1"/>
    <w:rsid w:val="3E055E2F"/>
    <w:rsid w:val="3E3A7708"/>
    <w:rsid w:val="3E644A3A"/>
    <w:rsid w:val="3E7347F4"/>
    <w:rsid w:val="3E746699"/>
    <w:rsid w:val="3E7F4E9E"/>
    <w:rsid w:val="3EBB6492"/>
    <w:rsid w:val="3EC37062"/>
    <w:rsid w:val="3EE04EC0"/>
    <w:rsid w:val="3EF83C43"/>
    <w:rsid w:val="3F01664D"/>
    <w:rsid w:val="3F03359F"/>
    <w:rsid w:val="3F175FC8"/>
    <w:rsid w:val="3F5F0715"/>
    <w:rsid w:val="3F6A5A87"/>
    <w:rsid w:val="3F825E7B"/>
    <w:rsid w:val="3FD010A5"/>
    <w:rsid w:val="3FD26C28"/>
    <w:rsid w:val="3FF62CCD"/>
    <w:rsid w:val="40161B0F"/>
    <w:rsid w:val="401B0E26"/>
    <w:rsid w:val="402327C5"/>
    <w:rsid w:val="40274F4D"/>
    <w:rsid w:val="406D5F51"/>
    <w:rsid w:val="40727205"/>
    <w:rsid w:val="407868C4"/>
    <w:rsid w:val="40850DCD"/>
    <w:rsid w:val="40863FD0"/>
    <w:rsid w:val="40987755"/>
    <w:rsid w:val="40991C73"/>
    <w:rsid w:val="409A66EE"/>
    <w:rsid w:val="40C410B6"/>
    <w:rsid w:val="40E03F32"/>
    <w:rsid w:val="413703C0"/>
    <w:rsid w:val="414B56B1"/>
    <w:rsid w:val="414E07CB"/>
    <w:rsid w:val="41537C84"/>
    <w:rsid w:val="415D6597"/>
    <w:rsid w:val="419532ED"/>
    <w:rsid w:val="41AC1D9C"/>
    <w:rsid w:val="41BC3617"/>
    <w:rsid w:val="41E56343"/>
    <w:rsid w:val="42057973"/>
    <w:rsid w:val="423C0F4F"/>
    <w:rsid w:val="4242619A"/>
    <w:rsid w:val="424F6EDD"/>
    <w:rsid w:val="42653964"/>
    <w:rsid w:val="42942BD3"/>
    <w:rsid w:val="42B20782"/>
    <w:rsid w:val="42D57318"/>
    <w:rsid w:val="42DF035B"/>
    <w:rsid w:val="42F765E9"/>
    <w:rsid w:val="43007003"/>
    <w:rsid w:val="43011D24"/>
    <w:rsid w:val="430A6BB3"/>
    <w:rsid w:val="431516B3"/>
    <w:rsid w:val="431E50E3"/>
    <w:rsid w:val="432707C0"/>
    <w:rsid w:val="437B0BDB"/>
    <w:rsid w:val="43835C83"/>
    <w:rsid w:val="43965DC0"/>
    <w:rsid w:val="439A08EB"/>
    <w:rsid w:val="439E404E"/>
    <w:rsid w:val="43AF5073"/>
    <w:rsid w:val="44090AFB"/>
    <w:rsid w:val="44223DB6"/>
    <w:rsid w:val="44702CCB"/>
    <w:rsid w:val="44712D89"/>
    <w:rsid w:val="447177A7"/>
    <w:rsid w:val="447A4020"/>
    <w:rsid w:val="44917C93"/>
    <w:rsid w:val="449B2AD2"/>
    <w:rsid w:val="44A406E9"/>
    <w:rsid w:val="44E00FDB"/>
    <w:rsid w:val="45BD3A7B"/>
    <w:rsid w:val="45BF4853"/>
    <w:rsid w:val="45D20A11"/>
    <w:rsid w:val="45D5709C"/>
    <w:rsid w:val="460B46A4"/>
    <w:rsid w:val="46136785"/>
    <w:rsid w:val="46195585"/>
    <w:rsid w:val="462E578F"/>
    <w:rsid w:val="46487CC3"/>
    <w:rsid w:val="464D0D35"/>
    <w:rsid w:val="4683030C"/>
    <w:rsid w:val="46894A53"/>
    <w:rsid w:val="46922887"/>
    <w:rsid w:val="46C14213"/>
    <w:rsid w:val="46D41E44"/>
    <w:rsid w:val="471E4C98"/>
    <w:rsid w:val="472D41FA"/>
    <w:rsid w:val="4778514E"/>
    <w:rsid w:val="479A09A1"/>
    <w:rsid w:val="47AE2F53"/>
    <w:rsid w:val="47BD5F3A"/>
    <w:rsid w:val="47E16522"/>
    <w:rsid w:val="48106990"/>
    <w:rsid w:val="48202D76"/>
    <w:rsid w:val="485F2BAA"/>
    <w:rsid w:val="488A4398"/>
    <w:rsid w:val="489957D3"/>
    <w:rsid w:val="48C475CE"/>
    <w:rsid w:val="48C57389"/>
    <w:rsid w:val="49216A6A"/>
    <w:rsid w:val="49502142"/>
    <w:rsid w:val="496938E0"/>
    <w:rsid w:val="496B37C1"/>
    <w:rsid w:val="497D136F"/>
    <w:rsid w:val="49882B35"/>
    <w:rsid w:val="4998360B"/>
    <w:rsid w:val="49AA7722"/>
    <w:rsid w:val="49BB43F2"/>
    <w:rsid w:val="49C408D7"/>
    <w:rsid w:val="49C44B33"/>
    <w:rsid w:val="49E44EB8"/>
    <w:rsid w:val="49E95994"/>
    <w:rsid w:val="4A571498"/>
    <w:rsid w:val="4A5F1301"/>
    <w:rsid w:val="4A7A393D"/>
    <w:rsid w:val="4A7C2A22"/>
    <w:rsid w:val="4AAE7894"/>
    <w:rsid w:val="4AB15B35"/>
    <w:rsid w:val="4AC858B9"/>
    <w:rsid w:val="4AFE0DE7"/>
    <w:rsid w:val="4B0971A3"/>
    <w:rsid w:val="4B0C2A59"/>
    <w:rsid w:val="4B104ABC"/>
    <w:rsid w:val="4B253071"/>
    <w:rsid w:val="4B255188"/>
    <w:rsid w:val="4B271678"/>
    <w:rsid w:val="4B2E5E75"/>
    <w:rsid w:val="4B383F2F"/>
    <w:rsid w:val="4B3872E6"/>
    <w:rsid w:val="4B7E5A9B"/>
    <w:rsid w:val="4B7F05B4"/>
    <w:rsid w:val="4BC965EF"/>
    <w:rsid w:val="4C05768C"/>
    <w:rsid w:val="4C140DFC"/>
    <w:rsid w:val="4C3E45A0"/>
    <w:rsid w:val="4C5604A8"/>
    <w:rsid w:val="4C6D0539"/>
    <w:rsid w:val="4C987828"/>
    <w:rsid w:val="4CA149AE"/>
    <w:rsid w:val="4CA50C40"/>
    <w:rsid w:val="4CBC3BCD"/>
    <w:rsid w:val="4CBE6B9B"/>
    <w:rsid w:val="4CDB0A19"/>
    <w:rsid w:val="4D2237A3"/>
    <w:rsid w:val="4D2459A5"/>
    <w:rsid w:val="4D3741CF"/>
    <w:rsid w:val="4D566262"/>
    <w:rsid w:val="4D803B22"/>
    <w:rsid w:val="4D8E3D28"/>
    <w:rsid w:val="4DB0348E"/>
    <w:rsid w:val="4DDB7383"/>
    <w:rsid w:val="4DE34531"/>
    <w:rsid w:val="4DF51404"/>
    <w:rsid w:val="4E2628B0"/>
    <w:rsid w:val="4E272D83"/>
    <w:rsid w:val="4E3F2AEA"/>
    <w:rsid w:val="4E487B66"/>
    <w:rsid w:val="4E4C09CE"/>
    <w:rsid w:val="4E521BBB"/>
    <w:rsid w:val="4E5633F4"/>
    <w:rsid w:val="4E7740D9"/>
    <w:rsid w:val="4E7B59BC"/>
    <w:rsid w:val="4E9F034F"/>
    <w:rsid w:val="4EA80B5F"/>
    <w:rsid w:val="4EAC0AFF"/>
    <w:rsid w:val="4EC2021D"/>
    <w:rsid w:val="4EF171D5"/>
    <w:rsid w:val="4F001CA3"/>
    <w:rsid w:val="4F5F730D"/>
    <w:rsid w:val="4F6271F1"/>
    <w:rsid w:val="4F6F1E59"/>
    <w:rsid w:val="4F870FED"/>
    <w:rsid w:val="4FAB37A5"/>
    <w:rsid w:val="4FAC2061"/>
    <w:rsid w:val="4FBF0FC3"/>
    <w:rsid w:val="4FE20E7E"/>
    <w:rsid w:val="4FE97D00"/>
    <w:rsid w:val="50036E2B"/>
    <w:rsid w:val="503A6C78"/>
    <w:rsid w:val="50440632"/>
    <w:rsid w:val="50510E8E"/>
    <w:rsid w:val="507C55CC"/>
    <w:rsid w:val="50A235BA"/>
    <w:rsid w:val="50A7295F"/>
    <w:rsid w:val="50DF3C48"/>
    <w:rsid w:val="50F764B1"/>
    <w:rsid w:val="50FD13B2"/>
    <w:rsid w:val="510D6DDD"/>
    <w:rsid w:val="511A0CA3"/>
    <w:rsid w:val="51282D4D"/>
    <w:rsid w:val="51327881"/>
    <w:rsid w:val="5137081F"/>
    <w:rsid w:val="518D70BB"/>
    <w:rsid w:val="51AD63E5"/>
    <w:rsid w:val="51C61F38"/>
    <w:rsid w:val="520A212C"/>
    <w:rsid w:val="521B4163"/>
    <w:rsid w:val="525F145C"/>
    <w:rsid w:val="52652A06"/>
    <w:rsid w:val="526B71D9"/>
    <w:rsid w:val="52AB586E"/>
    <w:rsid w:val="52C9608E"/>
    <w:rsid w:val="52D9178A"/>
    <w:rsid w:val="52F10D5D"/>
    <w:rsid w:val="52FE30BB"/>
    <w:rsid w:val="532805E1"/>
    <w:rsid w:val="5354521A"/>
    <w:rsid w:val="5356206E"/>
    <w:rsid w:val="536E79E7"/>
    <w:rsid w:val="536F3E4A"/>
    <w:rsid w:val="5375123D"/>
    <w:rsid w:val="5395369D"/>
    <w:rsid w:val="53A1414F"/>
    <w:rsid w:val="53A232B4"/>
    <w:rsid w:val="53F313A1"/>
    <w:rsid w:val="54207E6C"/>
    <w:rsid w:val="5431397B"/>
    <w:rsid w:val="5435274F"/>
    <w:rsid w:val="54460828"/>
    <w:rsid w:val="54B1259B"/>
    <w:rsid w:val="54B40D35"/>
    <w:rsid w:val="54CA59F6"/>
    <w:rsid w:val="54CE2507"/>
    <w:rsid w:val="54D03E13"/>
    <w:rsid w:val="54DF6269"/>
    <w:rsid w:val="54E87C62"/>
    <w:rsid w:val="5507487F"/>
    <w:rsid w:val="55181CD2"/>
    <w:rsid w:val="55257E46"/>
    <w:rsid w:val="553216B4"/>
    <w:rsid w:val="55331772"/>
    <w:rsid w:val="5544071B"/>
    <w:rsid w:val="55474BFE"/>
    <w:rsid w:val="555A759A"/>
    <w:rsid w:val="555F205D"/>
    <w:rsid w:val="557837FF"/>
    <w:rsid w:val="55AD4C5B"/>
    <w:rsid w:val="55BA5B51"/>
    <w:rsid w:val="55BB65AB"/>
    <w:rsid w:val="55C96970"/>
    <w:rsid w:val="55D01D97"/>
    <w:rsid w:val="55DE171A"/>
    <w:rsid w:val="55E9733B"/>
    <w:rsid w:val="55F35A91"/>
    <w:rsid w:val="56295B5C"/>
    <w:rsid w:val="56311EFB"/>
    <w:rsid w:val="56595F66"/>
    <w:rsid w:val="56745085"/>
    <w:rsid w:val="567B4E41"/>
    <w:rsid w:val="5686294B"/>
    <w:rsid w:val="56A0501D"/>
    <w:rsid w:val="56A137AD"/>
    <w:rsid w:val="56A37ED2"/>
    <w:rsid w:val="56BE23DD"/>
    <w:rsid w:val="56C05AFF"/>
    <w:rsid w:val="56D951D8"/>
    <w:rsid w:val="570D1EE3"/>
    <w:rsid w:val="5712508B"/>
    <w:rsid w:val="57170456"/>
    <w:rsid w:val="57174449"/>
    <w:rsid w:val="572233CB"/>
    <w:rsid w:val="57244B18"/>
    <w:rsid w:val="57323D7B"/>
    <w:rsid w:val="57513EEF"/>
    <w:rsid w:val="577345FE"/>
    <w:rsid w:val="57775C20"/>
    <w:rsid w:val="577A519D"/>
    <w:rsid w:val="578B38B5"/>
    <w:rsid w:val="579345B0"/>
    <w:rsid w:val="57BD1F6E"/>
    <w:rsid w:val="57C46B00"/>
    <w:rsid w:val="57CF7787"/>
    <w:rsid w:val="57D2439F"/>
    <w:rsid w:val="57E553DC"/>
    <w:rsid w:val="57EF3028"/>
    <w:rsid w:val="57EF6871"/>
    <w:rsid w:val="57F906DB"/>
    <w:rsid w:val="5806770C"/>
    <w:rsid w:val="58235FFE"/>
    <w:rsid w:val="58240039"/>
    <w:rsid w:val="5828231D"/>
    <w:rsid w:val="582E29C2"/>
    <w:rsid w:val="582F5FB6"/>
    <w:rsid w:val="58446A9A"/>
    <w:rsid w:val="584C1F45"/>
    <w:rsid w:val="585D670E"/>
    <w:rsid w:val="588D2B4A"/>
    <w:rsid w:val="58AC1B34"/>
    <w:rsid w:val="58DE4F52"/>
    <w:rsid w:val="58E21E20"/>
    <w:rsid w:val="58E87853"/>
    <w:rsid w:val="58EE603C"/>
    <w:rsid w:val="58F9280D"/>
    <w:rsid w:val="58FB4A2C"/>
    <w:rsid w:val="58FD425E"/>
    <w:rsid w:val="59186772"/>
    <w:rsid w:val="59245FFA"/>
    <w:rsid w:val="593F20DB"/>
    <w:rsid w:val="593F50E7"/>
    <w:rsid w:val="595A121E"/>
    <w:rsid w:val="59657495"/>
    <w:rsid w:val="59872C38"/>
    <w:rsid w:val="599D777F"/>
    <w:rsid w:val="59A07529"/>
    <w:rsid w:val="59C75644"/>
    <w:rsid w:val="5A2358AF"/>
    <w:rsid w:val="5A3A6A03"/>
    <w:rsid w:val="5A464F38"/>
    <w:rsid w:val="5A763AAA"/>
    <w:rsid w:val="5A7932F7"/>
    <w:rsid w:val="5A8D1C3B"/>
    <w:rsid w:val="5A93280C"/>
    <w:rsid w:val="5AE252AD"/>
    <w:rsid w:val="5AE3525A"/>
    <w:rsid w:val="5AF07FF7"/>
    <w:rsid w:val="5AF422E5"/>
    <w:rsid w:val="5B1B64F9"/>
    <w:rsid w:val="5B371D50"/>
    <w:rsid w:val="5B511071"/>
    <w:rsid w:val="5B512B1F"/>
    <w:rsid w:val="5B5D44D2"/>
    <w:rsid w:val="5B7F558E"/>
    <w:rsid w:val="5BC955E5"/>
    <w:rsid w:val="5BE22ACF"/>
    <w:rsid w:val="5BF243F2"/>
    <w:rsid w:val="5BF26431"/>
    <w:rsid w:val="5C006D9C"/>
    <w:rsid w:val="5C01190A"/>
    <w:rsid w:val="5C1C7139"/>
    <w:rsid w:val="5C273821"/>
    <w:rsid w:val="5C2E3F95"/>
    <w:rsid w:val="5C4A6ECE"/>
    <w:rsid w:val="5C6B6DF7"/>
    <w:rsid w:val="5C750F15"/>
    <w:rsid w:val="5C8D0454"/>
    <w:rsid w:val="5C9E01D4"/>
    <w:rsid w:val="5C9E6304"/>
    <w:rsid w:val="5CC76DBA"/>
    <w:rsid w:val="5CE653CE"/>
    <w:rsid w:val="5CF5288A"/>
    <w:rsid w:val="5CFB364C"/>
    <w:rsid w:val="5D082EF1"/>
    <w:rsid w:val="5D260C9A"/>
    <w:rsid w:val="5D290553"/>
    <w:rsid w:val="5D417851"/>
    <w:rsid w:val="5D443734"/>
    <w:rsid w:val="5D4F61DE"/>
    <w:rsid w:val="5D573AAA"/>
    <w:rsid w:val="5D594607"/>
    <w:rsid w:val="5D7B20C3"/>
    <w:rsid w:val="5D97003D"/>
    <w:rsid w:val="5D9929F9"/>
    <w:rsid w:val="5DFE4D22"/>
    <w:rsid w:val="5E014018"/>
    <w:rsid w:val="5E2C7B85"/>
    <w:rsid w:val="5E33078E"/>
    <w:rsid w:val="5E5C2496"/>
    <w:rsid w:val="5E6B7E83"/>
    <w:rsid w:val="5E780DEA"/>
    <w:rsid w:val="5E7B7D5D"/>
    <w:rsid w:val="5E977A41"/>
    <w:rsid w:val="5E985F24"/>
    <w:rsid w:val="5EA87B5B"/>
    <w:rsid w:val="5EC95BF2"/>
    <w:rsid w:val="5ECC06B5"/>
    <w:rsid w:val="5ED40E64"/>
    <w:rsid w:val="5EDF0BC7"/>
    <w:rsid w:val="5EE31366"/>
    <w:rsid w:val="5F164A4F"/>
    <w:rsid w:val="5F183785"/>
    <w:rsid w:val="5F631FA8"/>
    <w:rsid w:val="5FD521F7"/>
    <w:rsid w:val="5FE75659"/>
    <w:rsid w:val="5FFC77DC"/>
    <w:rsid w:val="601D7B35"/>
    <w:rsid w:val="604575C7"/>
    <w:rsid w:val="604E0A96"/>
    <w:rsid w:val="60843483"/>
    <w:rsid w:val="609304D5"/>
    <w:rsid w:val="60AE4AA7"/>
    <w:rsid w:val="610B0AE6"/>
    <w:rsid w:val="611642D5"/>
    <w:rsid w:val="61531DCE"/>
    <w:rsid w:val="617F51C3"/>
    <w:rsid w:val="618064C2"/>
    <w:rsid w:val="61943B9E"/>
    <w:rsid w:val="61C22B3A"/>
    <w:rsid w:val="61D9203D"/>
    <w:rsid w:val="61E027FD"/>
    <w:rsid w:val="620049ED"/>
    <w:rsid w:val="621B6E3E"/>
    <w:rsid w:val="621D1CEE"/>
    <w:rsid w:val="62222F85"/>
    <w:rsid w:val="623A1DFA"/>
    <w:rsid w:val="62422BA5"/>
    <w:rsid w:val="62756A7C"/>
    <w:rsid w:val="628F35DD"/>
    <w:rsid w:val="62E155D8"/>
    <w:rsid w:val="62E470AC"/>
    <w:rsid w:val="630278C8"/>
    <w:rsid w:val="63042A60"/>
    <w:rsid w:val="633D105C"/>
    <w:rsid w:val="635F1FDF"/>
    <w:rsid w:val="6385292C"/>
    <w:rsid w:val="63BA28D5"/>
    <w:rsid w:val="63EC28AE"/>
    <w:rsid w:val="63F031F4"/>
    <w:rsid w:val="63FD58CC"/>
    <w:rsid w:val="64041E7F"/>
    <w:rsid w:val="6450577A"/>
    <w:rsid w:val="645143E6"/>
    <w:rsid w:val="645D79DF"/>
    <w:rsid w:val="6493504D"/>
    <w:rsid w:val="64A83DA6"/>
    <w:rsid w:val="64E67C56"/>
    <w:rsid w:val="651D49F8"/>
    <w:rsid w:val="65290E91"/>
    <w:rsid w:val="652D5E7F"/>
    <w:rsid w:val="653532A5"/>
    <w:rsid w:val="65507243"/>
    <w:rsid w:val="656027FF"/>
    <w:rsid w:val="656352A5"/>
    <w:rsid w:val="657A097C"/>
    <w:rsid w:val="657D7638"/>
    <w:rsid w:val="659B662F"/>
    <w:rsid w:val="65AD68FC"/>
    <w:rsid w:val="65C753D5"/>
    <w:rsid w:val="65CA714A"/>
    <w:rsid w:val="660D1534"/>
    <w:rsid w:val="66210180"/>
    <w:rsid w:val="66457E51"/>
    <w:rsid w:val="6648005B"/>
    <w:rsid w:val="6680376E"/>
    <w:rsid w:val="66824F18"/>
    <w:rsid w:val="66912676"/>
    <w:rsid w:val="669402DC"/>
    <w:rsid w:val="66997156"/>
    <w:rsid w:val="66AB4B48"/>
    <w:rsid w:val="66DD4FD8"/>
    <w:rsid w:val="66ED31EA"/>
    <w:rsid w:val="670337CC"/>
    <w:rsid w:val="67124A98"/>
    <w:rsid w:val="67361532"/>
    <w:rsid w:val="67864A7F"/>
    <w:rsid w:val="67D13F01"/>
    <w:rsid w:val="67E4001D"/>
    <w:rsid w:val="67F75E8E"/>
    <w:rsid w:val="681D65D4"/>
    <w:rsid w:val="68201F1F"/>
    <w:rsid w:val="68293C00"/>
    <w:rsid w:val="687751C0"/>
    <w:rsid w:val="68E34B21"/>
    <w:rsid w:val="691867A1"/>
    <w:rsid w:val="691A3243"/>
    <w:rsid w:val="69221EE6"/>
    <w:rsid w:val="69386C2F"/>
    <w:rsid w:val="695850CC"/>
    <w:rsid w:val="696C3489"/>
    <w:rsid w:val="696C42BB"/>
    <w:rsid w:val="697669C9"/>
    <w:rsid w:val="6978753C"/>
    <w:rsid w:val="697A3A8B"/>
    <w:rsid w:val="698A6B0F"/>
    <w:rsid w:val="699721CA"/>
    <w:rsid w:val="69C47A95"/>
    <w:rsid w:val="69CC14E2"/>
    <w:rsid w:val="69CD6393"/>
    <w:rsid w:val="69EC4C9C"/>
    <w:rsid w:val="69F1784C"/>
    <w:rsid w:val="69FB3343"/>
    <w:rsid w:val="6A085BC1"/>
    <w:rsid w:val="6A1F7A9F"/>
    <w:rsid w:val="6A370805"/>
    <w:rsid w:val="6A38427B"/>
    <w:rsid w:val="6A5B50ED"/>
    <w:rsid w:val="6A782EAA"/>
    <w:rsid w:val="6A7D12F1"/>
    <w:rsid w:val="6A8D51AE"/>
    <w:rsid w:val="6AD05215"/>
    <w:rsid w:val="6AD3150D"/>
    <w:rsid w:val="6ADC5EB6"/>
    <w:rsid w:val="6B0232B5"/>
    <w:rsid w:val="6B181FF6"/>
    <w:rsid w:val="6B1A795C"/>
    <w:rsid w:val="6B1C3929"/>
    <w:rsid w:val="6B3D6873"/>
    <w:rsid w:val="6B435052"/>
    <w:rsid w:val="6B5F24B5"/>
    <w:rsid w:val="6B5F3D68"/>
    <w:rsid w:val="6B704279"/>
    <w:rsid w:val="6B741F97"/>
    <w:rsid w:val="6BD8163F"/>
    <w:rsid w:val="6BE82C6E"/>
    <w:rsid w:val="6BEC58FB"/>
    <w:rsid w:val="6BF7258C"/>
    <w:rsid w:val="6C3A353B"/>
    <w:rsid w:val="6C40697F"/>
    <w:rsid w:val="6C583657"/>
    <w:rsid w:val="6C667711"/>
    <w:rsid w:val="6C6A59B8"/>
    <w:rsid w:val="6C741305"/>
    <w:rsid w:val="6C79584D"/>
    <w:rsid w:val="6CBE4E28"/>
    <w:rsid w:val="6CC211DC"/>
    <w:rsid w:val="6CD97B67"/>
    <w:rsid w:val="6CDB746B"/>
    <w:rsid w:val="6CE85719"/>
    <w:rsid w:val="6CE94AA9"/>
    <w:rsid w:val="6D020EA1"/>
    <w:rsid w:val="6D2F34BE"/>
    <w:rsid w:val="6D397F32"/>
    <w:rsid w:val="6D4A3B5E"/>
    <w:rsid w:val="6D687800"/>
    <w:rsid w:val="6D777815"/>
    <w:rsid w:val="6D7F338C"/>
    <w:rsid w:val="6D882F1A"/>
    <w:rsid w:val="6DC620EB"/>
    <w:rsid w:val="6DE03D35"/>
    <w:rsid w:val="6DE749AE"/>
    <w:rsid w:val="6DF27246"/>
    <w:rsid w:val="6DF7460C"/>
    <w:rsid w:val="6E061E66"/>
    <w:rsid w:val="6E0B5EFD"/>
    <w:rsid w:val="6E0F1211"/>
    <w:rsid w:val="6E5F4DF2"/>
    <w:rsid w:val="6E66358F"/>
    <w:rsid w:val="6E69482B"/>
    <w:rsid w:val="6E732CEA"/>
    <w:rsid w:val="6E782243"/>
    <w:rsid w:val="6E932C81"/>
    <w:rsid w:val="6EB82910"/>
    <w:rsid w:val="6EC058A2"/>
    <w:rsid w:val="6ED604F9"/>
    <w:rsid w:val="6EF00E07"/>
    <w:rsid w:val="6F594B6A"/>
    <w:rsid w:val="6F596421"/>
    <w:rsid w:val="6F6070B9"/>
    <w:rsid w:val="6F655EC9"/>
    <w:rsid w:val="6F6B7D6A"/>
    <w:rsid w:val="6F7128CA"/>
    <w:rsid w:val="6FB30B76"/>
    <w:rsid w:val="6FBD0858"/>
    <w:rsid w:val="6FDC4DEF"/>
    <w:rsid w:val="708024DD"/>
    <w:rsid w:val="708C3687"/>
    <w:rsid w:val="709241E9"/>
    <w:rsid w:val="70BA4799"/>
    <w:rsid w:val="70C31D2A"/>
    <w:rsid w:val="70E175EE"/>
    <w:rsid w:val="70F825BD"/>
    <w:rsid w:val="710826BD"/>
    <w:rsid w:val="710C7745"/>
    <w:rsid w:val="71615427"/>
    <w:rsid w:val="716458BF"/>
    <w:rsid w:val="7193027A"/>
    <w:rsid w:val="719C344E"/>
    <w:rsid w:val="71A079BD"/>
    <w:rsid w:val="71A43860"/>
    <w:rsid w:val="71A45EA5"/>
    <w:rsid w:val="71C63906"/>
    <w:rsid w:val="71CE1A46"/>
    <w:rsid w:val="71EE0182"/>
    <w:rsid w:val="72245DF7"/>
    <w:rsid w:val="72454C6E"/>
    <w:rsid w:val="724C04FD"/>
    <w:rsid w:val="725306B2"/>
    <w:rsid w:val="725C3906"/>
    <w:rsid w:val="726E77D6"/>
    <w:rsid w:val="72C25BFE"/>
    <w:rsid w:val="72D43488"/>
    <w:rsid w:val="72E1752D"/>
    <w:rsid w:val="7323724A"/>
    <w:rsid w:val="73417A40"/>
    <w:rsid w:val="736A782A"/>
    <w:rsid w:val="73725529"/>
    <w:rsid w:val="737D407D"/>
    <w:rsid w:val="738C1258"/>
    <w:rsid w:val="739D39F4"/>
    <w:rsid w:val="739F7417"/>
    <w:rsid w:val="73A015C2"/>
    <w:rsid w:val="73A3706E"/>
    <w:rsid w:val="73A913CF"/>
    <w:rsid w:val="73BF48BA"/>
    <w:rsid w:val="73D7283B"/>
    <w:rsid w:val="73EB1497"/>
    <w:rsid w:val="74000A47"/>
    <w:rsid w:val="74484526"/>
    <w:rsid w:val="745B45EA"/>
    <w:rsid w:val="74885606"/>
    <w:rsid w:val="74904B55"/>
    <w:rsid w:val="74BB1F87"/>
    <w:rsid w:val="74BB6271"/>
    <w:rsid w:val="74C279DC"/>
    <w:rsid w:val="74C51A9B"/>
    <w:rsid w:val="74CF07A0"/>
    <w:rsid w:val="74E13786"/>
    <w:rsid w:val="74E43C9B"/>
    <w:rsid w:val="74EF3736"/>
    <w:rsid w:val="751115BE"/>
    <w:rsid w:val="75180927"/>
    <w:rsid w:val="751F2214"/>
    <w:rsid w:val="75314C55"/>
    <w:rsid w:val="75580F8A"/>
    <w:rsid w:val="75740E00"/>
    <w:rsid w:val="757F162D"/>
    <w:rsid w:val="75BE31B8"/>
    <w:rsid w:val="75CC2D4E"/>
    <w:rsid w:val="75F71430"/>
    <w:rsid w:val="76022CA3"/>
    <w:rsid w:val="76182D82"/>
    <w:rsid w:val="763A080C"/>
    <w:rsid w:val="76641507"/>
    <w:rsid w:val="76687618"/>
    <w:rsid w:val="767B637A"/>
    <w:rsid w:val="769501F8"/>
    <w:rsid w:val="76BE3EF7"/>
    <w:rsid w:val="76D632EF"/>
    <w:rsid w:val="76EB5B39"/>
    <w:rsid w:val="76ED2AF4"/>
    <w:rsid w:val="76F02853"/>
    <w:rsid w:val="76F862BB"/>
    <w:rsid w:val="76FE6EFC"/>
    <w:rsid w:val="76FF750B"/>
    <w:rsid w:val="771478EB"/>
    <w:rsid w:val="773E5387"/>
    <w:rsid w:val="775A5AE2"/>
    <w:rsid w:val="776F4F23"/>
    <w:rsid w:val="7786548B"/>
    <w:rsid w:val="779B2A4D"/>
    <w:rsid w:val="77A645EF"/>
    <w:rsid w:val="77D22DA1"/>
    <w:rsid w:val="77E359DC"/>
    <w:rsid w:val="78156E78"/>
    <w:rsid w:val="782067F2"/>
    <w:rsid w:val="78290A3E"/>
    <w:rsid w:val="782D5EAF"/>
    <w:rsid w:val="783332AC"/>
    <w:rsid w:val="78431150"/>
    <w:rsid w:val="78710511"/>
    <w:rsid w:val="787A6AAA"/>
    <w:rsid w:val="788A4478"/>
    <w:rsid w:val="7897138D"/>
    <w:rsid w:val="789F1175"/>
    <w:rsid w:val="78A515AE"/>
    <w:rsid w:val="78B464D7"/>
    <w:rsid w:val="790B385D"/>
    <w:rsid w:val="790E274F"/>
    <w:rsid w:val="79111B5B"/>
    <w:rsid w:val="7931734A"/>
    <w:rsid w:val="793C27DB"/>
    <w:rsid w:val="79892C0F"/>
    <w:rsid w:val="79AF2036"/>
    <w:rsid w:val="79BD46A6"/>
    <w:rsid w:val="79DA3E2E"/>
    <w:rsid w:val="79EF290B"/>
    <w:rsid w:val="7A0E0F86"/>
    <w:rsid w:val="7AA1082D"/>
    <w:rsid w:val="7ACD27D7"/>
    <w:rsid w:val="7ADB04EF"/>
    <w:rsid w:val="7ADB38D4"/>
    <w:rsid w:val="7AE35327"/>
    <w:rsid w:val="7B0641D7"/>
    <w:rsid w:val="7B2044F7"/>
    <w:rsid w:val="7B2852EA"/>
    <w:rsid w:val="7B310E5D"/>
    <w:rsid w:val="7B482DF7"/>
    <w:rsid w:val="7B4B2732"/>
    <w:rsid w:val="7B6F37A9"/>
    <w:rsid w:val="7BAA18C9"/>
    <w:rsid w:val="7BC84C59"/>
    <w:rsid w:val="7BCE7144"/>
    <w:rsid w:val="7BF13877"/>
    <w:rsid w:val="7C01401C"/>
    <w:rsid w:val="7C1E5CE5"/>
    <w:rsid w:val="7C2A69BD"/>
    <w:rsid w:val="7C587C3D"/>
    <w:rsid w:val="7C640736"/>
    <w:rsid w:val="7C782645"/>
    <w:rsid w:val="7C7E2999"/>
    <w:rsid w:val="7CB33935"/>
    <w:rsid w:val="7CCD3892"/>
    <w:rsid w:val="7CF20ECE"/>
    <w:rsid w:val="7D0D6D85"/>
    <w:rsid w:val="7D2777D9"/>
    <w:rsid w:val="7D7A3E7D"/>
    <w:rsid w:val="7D8072E5"/>
    <w:rsid w:val="7DBE1A3A"/>
    <w:rsid w:val="7DD2691C"/>
    <w:rsid w:val="7DD90F2C"/>
    <w:rsid w:val="7E333FDB"/>
    <w:rsid w:val="7E3563A1"/>
    <w:rsid w:val="7E3842C6"/>
    <w:rsid w:val="7E654AE8"/>
    <w:rsid w:val="7E6E0D00"/>
    <w:rsid w:val="7E735DA8"/>
    <w:rsid w:val="7E740629"/>
    <w:rsid w:val="7E753CCA"/>
    <w:rsid w:val="7E9326F9"/>
    <w:rsid w:val="7E986EB3"/>
    <w:rsid w:val="7E9A1FC4"/>
    <w:rsid w:val="7E9B62E8"/>
    <w:rsid w:val="7E9D42A8"/>
    <w:rsid w:val="7EE10C39"/>
    <w:rsid w:val="7EE20452"/>
    <w:rsid w:val="7F0E6A25"/>
    <w:rsid w:val="7F116E7F"/>
    <w:rsid w:val="7F1437A7"/>
    <w:rsid w:val="7F395D9C"/>
    <w:rsid w:val="7F5B45CF"/>
    <w:rsid w:val="7F79468E"/>
    <w:rsid w:val="7F843BD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列出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6.xml"/><Relationship Id="rId36" Type="http://schemas.openxmlformats.org/officeDocument/2006/relationships/customXml" Target="../customXml/item5.xml"/><Relationship Id="rId35" Type="http://schemas.openxmlformats.org/officeDocument/2006/relationships/customXml" Target="../customXml/item4.xml"/><Relationship Id="rId34" Type="http://schemas.openxmlformats.org/officeDocument/2006/relationships/customXml" Target="../customXml/item3.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4.wmf"/><Relationship Id="rId3" Type="http://schemas.openxmlformats.org/officeDocument/2006/relationships/header" Target="header1.xml"/><Relationship Id="rId29" Type="http://schemas.openxmlformats.org/officeDocument/2006/relationships/image" Target="media/image23.wmf"/><Relationship Id="rId28" Type="http://schemas.openxmlformats.org/officeDocument/2006/relationships/image" Target="media/image22.wmf"/><Relationship Id="rId27" Type="http://schemas.openxmlformats.org/officeDocument/2006/relationships/image" Target="media/image21.wmf"/><Relationship Id="rId26" Type="http://schemas.openxmlformats.org/officeDocument/2006/relationships/image" Target="media/image20.wmf"/><Relationship Id="rId25" Type="http://schemas.openxmlformats.org/officeDocument/2006/relationships/image" Target="media/image19.wmf"/><Relationship Id="rId24" Type="http://schemas.openxmlformats.org/officeDocument/2006/relationships/image" Target="media/image18.wmf"/><Relationship Id="rId23" Type="http://schemas.openxmlformats.org/officeDocument/2006/relationships/image" Target="media/image17.wmf"/><Relationship Id="rId22" Type="http://schemas.openxmlformats.org/officeDocument/2006/relationships/image" Target="media/image16.wmf"/><Relationship Id="rId21" Type="http://schemas.openxmlformats.org/officeDocument/2006/relationships/image" Target="media/image15.wmf"/><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image" Target="media/image12.wmf"/><Relationship Id="rId17" Type="http://schemas.openxmlformats.org/officeDocument/2006/relationships/image" Target="media/image11.wmf"/><Relationship Id="rId16" Type="http://schemas.openxmlformats.org/officeDocument/2006/relationships/image" Target="media/image10.wmf"/><Relationship Id="rId15" Type="http://schemas.openxmlformats.org/officeDocument/2006/relationships/image" Target="media/image9.wmf"/><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2021-01-18T06:12:21Z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